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8EF" w:rsidRPr="001538EF" w:rsidRDefault="001538EF" w:rsidP="001538EF">
      <w:r w:rsidRPr="001538EF">
        <w:t xml:space="preserve">     </w:t>
      </w:r>
    </w:p>
    <w:p w:rsidR="001538EF" w:rsidRPr="001538EF" w:rsidRDefault="001538EF" w:rsidP="001538EF">
      <w:pPr>
        <w:jc w:val="center"/>
      </w:pPr>
      <w:r w:rsidRPr="001538EF">
        <w:rPr>
          <w:noProof/>
          <w:lang w:val="en-US" w:eastAsia="en-US"/>
        </w:rPr>
        <w:drawing>
          <wp:inline distT="0" distB="0" distL="0" distR="0" wp14:anchorId="0A8AC033" wp14:editId="07FC07E6">
            <wp:extent cx="2661584" cy="1337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ajax.png"/>
                    <pic:cNvPicPr/>
                  </pic:nvPicPr>
                  <pic:blipFill>
                    <a:blip r:embed="rId8">
                      <a:extLst>
                        <a:ext uri="{28A0092B-C50C-407E-A947-70E740481C1C}">
                          <a14:useLocalDpi xmlns:a14="http://schemas.microsoft.com/office/drawing/2010/main" val="0"/>
                        </a:ext>
                      </a:extLst>
                    </a:blip>
                    <a:stretch>
                      <a:fillRect/>
                    </a:stretch>
                  </pic:blipFill>
                  <pic:spPr>
                    <a:xfrm>
                      <a:off x="0" y="0"/>
                      <a:ext cx="2664663" cy="1339027"/>
                    </a:xfrm>
                    <a:prstGeom prst="rect">
                      <a:avLst/>
                    </a:prstGeom>
                  </pic:spPr>
                </pic:pic>
              </a:graphicData>
            </a:graphic>
          </wp:inline>
        </w:drawing>
      </w:r>
    </w:p>
    <w:p w:rsidR="001538EF" w:rsidRPr="001538EF" w:rsidRDefault="001538EF" w:rsidP="001538EF"/>
    <w:p w:rsidR="001538EF" w:rsidRPr="001538EF" w:rsidRDefault="001538EF" w:rsidP="001538EF">
      <w:pPr>
        <w:rPr>
          <w:lang w:val="sr-Cyrl-BA"/>
        </w:rPr>
      </w:pP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t xml:space="preserve"> </w:t>
      </w:r>
    </w:p>
    <w:p w:rsidR="001538EF" w:rsidRPr="0059237D" w:rsidRDefault="001538EF" w:rsidP="001538EF">
      <w:pPr>
        <w:rPr>
          <w:lang w:val="sr-Cyrl-RS"/>
        </w:rPr>
      </w:pPr>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bookmarkStart w:id="0" w:name="_GoBack"/>
      <w:bookmarkEnd w:id="0"/>
    </w:p>
    <w:p w:rsidR="001538EF" w:rsidRPr="001538EF" w:rsidRDefault="001538EF" w:rsidP="001538EF">
      <w:pPr>
        <w:rPr>
          <w:lang w:val="sr-Cyrl-BA"/>
        </w:rPr>
      </w:pPr>
    </w:p>
    <w:p w:rsidR="001538EF" w:rsidRPr="005767EF" w:rsidRDefault="001538EF" w:rsidP="001538EF">
      <w:pPr>
        <w:jc w:val="left"/>
        <w:rPr>
          <w:rFonts w:asciiTheme="minorHAnsi" w:hAnsiTheme="minorHAnsi"/>
          <w:sz w:val="20"/>
          <w:szCs w:val="20"/>
          <w:lang w:val="sr-Cyrl-BA"/>
        </w:rPr>
      </w:pPr>
    </w:p>
    <w:p w:rsidR="001538EF" w:rsidRPr="005767EF" w:rsidRDefault="001538EF" w:rsidP="001538EF">
      <w:pPr>
        <w:jc w:val="right"/>
        <w:rPr>
          <w:rFonts w:asciiTheme="minorHAnsi" w:hAnsiTheme="minorHAnsi"/>
          <w:sz w:val="20"/>
          <w:szCs w:val="20"/>
          <w:lang w:val="sr-Cyrl-BA"/>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D368D4" w:rsidRDefault="001538EF" w:rsidP="001538EF">
      <w:pPr>
        <w:rPr>
          <w:rFonts w:asciiTheme="minorHAnsi" w:hAnsiTheme="minorHAnsi"/>
          <w:sz w:val="28"/>
          <w:szCs w:val="28"/>
        </w:rPr>
      </w:pPr>
    </w:p>
    <w:p w:rsidR="001538EF" w:rsidRPr="00D368D4" w:rsidRDefault="001538EF" w:rsidP="001538EF">
      <w:pPr>
        <w:jc w:val="center"/>
        <w:rPr>
          <w:rFonts w:asciiTheme="minorHAnsi" w:hAnsiTheme="minorHAnsi"/>
          <w:b/>
          <w:spacing w:val="60"/>
          <w:sz w:val="28"/>
          <w:szCs w:val="28"/>
        </w:rPr>
      </w:pPr>
      <w:r w:rsidRPr="00D368D4">
        <w:rPr>
          <w:rFonts w:asciiTheme="minorHAnsi" w:hAnsiTheme="minorHAnsi"/>
          <w:b/>
          <w:spacing w:val="60"/>
          <w:sz w:val="28"/>
          <w:szCs w:val="28"/>
          <w:lang w:val="sr-Cyrl-BA"/>
        </w:rPr>
        <w:t>ИЗВЈЕШТАЈ</w:t>
      </w:r>
    </w:p>
    <w:p w:rsidR="001538EF" w:rsidRPr="00D368D4" w:rsidRDefault="001538EF" w:rsidP="001538EF">
      <w:pPr>
        <w:jc w:val="center"/>
        <w:rPr>
          <w:rFonts w:asciiTheme="minorHAnsi" w:hAnsiTheme="minorHAnsi"/>
          <w:b/>
          <w:spacing w:val="60"/>
          <w:sz w:val="28"/>
          <w:szCs w:val="28"/>
          <w:lang w:val="sr-Cyrl-BA"/>
        </w:rPr>
      </w:pPr>
      <w:r w:rsidRPr="00D368D4">
        <w:rPr>
          <w:rFonts w:asciiTheme="minorHAnsi" w:hAnsiTheme="minorHAnsi"/>
          <w:b/>
          <w:spacing w:val="60"/>
          <w:sz w:val="28"/>
          <w:szCs w:val="28"/>
          <w:lang w:val="sr-Cyrl-BA"/>
        </w:rPr>
        <w:t xml:space="preserve"> </w:t>
      </w:r>
      <w:r w:rsidR="00D368D4">
        <w:rPr>
          <w:rFonts w:asciiTheme="minorHAnsi" w:hAnsiTheme="minorHAnsi"/>
          <w:b/>
          <w:spacing w:val="60"/>
          <w:sz w:val="28"/>
          <w:szCs w:val="28"/>
          <w:lang w:val="sr-Cyrl-BA"/>
        </w:rPr>
        <w:t>О РАДУ И ПОСЛОВАЊУ</w:t>
      </w:r>
    </w:p>
    <w:p w:rsidR="001538EF" w:rsidRPr="00D368D4" w:rsidRDefault="001538EF" w:rsidP="001538EF">
      <w:pPr>
        <w:jc w:val="center"/>
        <w:rPr>
          <w:rFonts w:asciiTheme="minorHAnsi" w:hAnsiTheme="minorHAnsi"/>
          <w:b/>
          <w:sz w:val="28"/>
          <w:szCs w:val="28"/>
          <w:lang w:val="sr-Cyrl-RS"/>
        </w:rPr>
      </w:pPr>
      <w:r w:rsidRPr="00D368D4">
        <w:rPr>
          <w:rFonts w:asciiTheme="minorHAnsi" w:hAnsiTheme="minorHAnsi"/>
          <w:b/>
          <w:sz w:val="28"/>
          <w:szCs w:val="28"/>
        </w:rPr>
        <w:t>ГАРАНТНОГ ФОНДА РЕПУБЛИКЕ СРПСКЕ А</w:t>
      </w:r>
      <w:r w:rsidR="00EA08D5" w:rsidRPr="00D368D4">
        <w:rPr>
          <w:rFonts w:asciiTheme="minorHAnsi" w:hAnsiTheme="minorHAnsi"/>
          <w:b/>
          <w:sz w:val="28"/>
          <w:szCs w:val="28"/>
          <w:lang w:val="sr-Cyrl-RS"/>
        </w:rPr>
        <w:t>.</w:t>
      </w:r>
      <w:r w:rsidRPr="00D368D4">
        <w:rPr>
          <w:rFonts w:asciiTheme="minorHAnsi" w:hAnsiTheme="minorHAnsi"/>
          <w:b/>
          <w:sz w:val="28"/>
          <w:szCs w:val="28"/>
        </w:rPr>
        <w:t>Д</w:t>
      </w:r>
      <w:r w:rsidR="00EA08D5" w:rsidRPr="00D368D4">
        <w:rPr>
          <w:rFonts w:asciiTheme="minorHAnsi" w:hAnsiTheme="minorHAnsi"/>
          <w:b/>
          <w:sz w:val="28"/>
          <w:szCs w:val="28"/>
          <w:lang w:val="sr-Cyrl-RS"/>
        </w:rPr>
        <w:t>.</w:t>
      </w:r>
    </w:p>
    <w:p w:rsidR="001538EF" w:rsidRPr="00D368D4" w:rsidRDefault="001538EF" w:rsidP="001538EF">
      <w:pPr>
        <w:jc w:val="center"/>
        <w:rPr>
          <w:rFonts w:asciiTheme="minorHAnsi" w:hAnsiTheme="minorHAnsi"/>
          <w:b/>
          <w:sz w:val="28"/>
          <w:szCs w:val="28"/>
        </w:rPr>
      </w:pPr>
      <w:r w:rsidRPr="00D368D4">
        <w:rPr>
          <w:rFonts w:asciiTheme="minorHAnsi" w:hAnsiTheme="minorHAnsi"/>
          <w:b/>
          <w:sz w:val="28"/>
          <w:szCs w:val="28"/>
        </w:rPr>
        <w:t>БАЊА ЛУКА</w:t>
      </w:r>
      <w:r w:rsidRPr="00D368D4">
        <w:rPr>
          <w:rFonts w:asciiTheme="minorHAnsi" w:hAnsiTheme="minorHAnsi"/>
          <w:b/>
          <w:sz w:val="28"/>
          <w:szCs w:val="28"/>
          <w:lang w:val="sr-Cyrl-BA"/>
        </w:rPr>
        <w:t xml:space="preserve"> ЗА 20</w:t>
      </w:r>
      <w:r w:rsidRPr="00D368D4">
        <w:rPr>
          <w:rFonts w:asciiTheme="minorHAnsi" w:hAnsiTheme="minorHAnsi"/>
          <w:b/>
          <w:sz w:val="28"/>
          <w:szCs w:val="28"/>
        </w:rPr>
        <w:t>2</w:t>
      </w:r>
      <w:r w:rsidR="00BB1603">
        <w:rPr>
          <w:rFonts w:asciiTheme="minorHAnsi" w:hAnsiTheme="minorHAnsi"/>
          <w:b/>
          <w:sz w:val="28"/>
          <w:szCs w:val="28"/>
        </w:rPr>
        <w:t>4</w:t>
      </w:r>
      <w:r w:rsidRPr="00D368D4">
        <w:rPr>
          <w:rFonts w:asciiTheme="minorHAnsi" w:hAnsiTheme="minorHAnsi"/>
          <w:b/>
          <w:sz w:val="28"/>
          <w:szCs w:val="28"/>
          <w:lang w:val="sr-Cyrl-BA"/>
        </w:rPr>
        <w:t>.</w:t>
      </w:r>
      <w:r w:rsidRPr="00D368D4">
        <w:rPr>
          <w:rFonts w:asciiTheme="minorHAnsi" w:hAnsiTheme="minorHAnsi"/>
          <w:b/>
          <w:sz w:val="28"/>
          <w:szCs w:val="28"/>
        </w:rPr>
        <w:t xml:space="preserve"> </w:t>
      </w:r>
      <w:r w:rsidRPr="00D368D4">
        <w:rPr>
          <w:rFonts w:asciiTheme="minorHAnsi" w:hAnsiTheme="minorHAnsi"/>
          <w:b/>
          <w:sz w:val="28"/>
          <w:szCs w:val="28"/>
          <w:lang w:val="sr-Cyrl-BA"/>
        </w:rPr>
        <w:t>ГОДИНУ</w:t>
      </w:r>
      <w:r w:rsidRPr="00D368D4">
        <w:rPr>
          <w:rFonts w:asciiTheme="minorHAnsi" w:hAnsiTheme="minorHAnsi"/>
          <w:b/>
          <w:sz w:val="28"/>
          <w:szCs w:val="28"/>
        </w:rPr>
        <w:t xml:space="preserve"> </w:t>
      </w:r>
    </w:p>
    <w:p w:rsidR="001538EF" w:rsidRPr="00D368D4" w:rsidRDefault="001538EF" w:rsidP="001538EF">
      <w:pPr>
        <w:rPr>
          <w:rFonts w:asciiTheme="minorHAnsi" w:hAnsiTheme="minorHAnsi"/>
          <w:sz w:val="28"/>
          <w:szCs w:val="28"/>
        </w:rPr>
      </w:pPr>
    </w:p>
    <w:p w:rsidR="001538EF" w:rsidRPr="00D368D4" w:rsidRDefault="001538EF" w:rsidP="001538EF">
      <w:pPr>
        <w:rPr>
          <w:rFonts w:asciiTheme="minorHAnsi" w:hAnsiTheme="minorHAnsi"/>
          <w:sz w:val="28"/>
          <w:szCs w:val="28"/>
        </w:rPr>
      </w:pPr>
    </w:p>
    <w:p w:rsidR="001538EF" w:rsidRPr="00D368D4" w:rsidRDefault="001538EF" w:rsidP="001538EF">
      <w:pPr>
        <w:rPr>
          <w:rFonts w:asciiTheme="minorHAnsi" w:hAnsiTheme="minorHAnsi"/>
          <w:sz w:val="28"/>
          <w:szCs w:val="28"/>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Pr="005767EF" w:rsidRDefault="001538EF" w:rsidP="001538EF">
      <w:pPr>
        <w:rPr>
          <w:rFonts w:asciiTheme="minorHAnsi" w:hAnsiTheme="minorHAnsi"/>
          <w:sz w:val="20"/>
          <w:szCs w:val="20"/>
          <w:lang w:val="sr-Cyrl-BA"/>
        </w:rPr>
      </w:pPr>
    </w:p>
    <w:p w:rsidR="001538EF" w:rsidRDefault="001538EF"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545FA4" w:rsidRDefault="00545FA4" w:rsidP="001538EF">
      <w:pPr>
        <w:rPr>
          <w:rFonts w:asciiTheme="minorHAnsi" w:hAnsiTheme="minorHAnsi"/>
          <w:sz w:val="20"/>
          <w:szCs w:val="20"/>
          <w:lang w:val="sr-Cyrl-BA"/>
        </w:rPr>
      </w:pPr>
    </w:p>
    <w:p w:rsidR="001538EF" w:rsidRPr="007B2869" w:rsidRDefault="001538EF" w:rsidP="001538EF">
      <w:pPr>
        <w:rPr>
          <w:rFonts w:asciiTheme="minorHAnsi" w:hAnsiTheme="minorHAnsi"/>
          <w:sz w:val="20"/>
          <w:szCs w:val="20"/>
          <w:lang w:val="sr-Cyrl-RS"/>
        </w:rPr>
      </w:pPr>
    </w:p>
    <w:p w:rsidR="001538EF" w:rsidRPr="005767EF" w:rsidRDefault="001538EF" w:rsidP="001538EF">
      <w:pPr>
        <w:jc w:val="center"/>
        <w:rPr>
          <w:rFonts w:asciiTheme="minorHAnsi" w:hAnsiTheme="minorHAnsi"/>
          <w:sz w:val="20"/>
          <w:szCs w:val="20"/>
          <w:lang w:val="sr-Cyrl-BA"/>
        </w:rPr>
      </w:pPr>
      <w:r w:rsidRPr="005767EF">
        <w:rPr>
          <w:rFonts w:asciiTheme="minorHAnsi" w:hAnsiTheme="minorHAnsi"/>
          <w:sz w:val="20"/>
          <w:szCs w:val="20"/>
        </w:rPr>
        <w:t>БАЊА ЛУКА</w:t>
      </w:r>
      <w:r w:rsidR="00C547E3">
        <w:rPr>
          <w:rFonts w:asciiTheme="minorHAnsi" w:hAnsiTheme="minorHAnsi"/>
          <w:sz w:val="20"/>
          <w:szCs w:val="20"/>
          <w:lang w:val="sr-Cyrl-BA"/>
        </w:rPr>
        <w:t xml:space="preserve">, </w:t>
      </w:r>
      <w:r w:rsidR="00D01BB3">
        <w:rPr>
          <w:rFonts w:asciiTheme="minorHAnsi" w:hAnsiTheme="minorHAnsi"/>
          <w:sz w:val="20"/>
          <w:szCs w:val="20"/>
          <w:lang w:val="sr-Cyrl-RS"/>
        </w:rPr>
        <w:t>јун</w:t>
      </w:r>
      <w:r w:rsidR="003426AA">
        <w:rPr>
          <w:rFonts w:asciiTheme="minorHAnsi" w:hAnsiTheme="minorHAnsi"/>
          <w:sz w:val="20"/>
          <w:szCs w:val="20"/>
          <w:lang w:val="sr-Cyrl-RS"/>
        </w:rPr>
        <w:t xml:space="preserve"> </w:t>
      </w:r>
      <w:r w:rsidR="00BB1603">
        <w:rPr>
          <w:rFonts w:asciiTheme="minorHAnsi" w:hAnsiTheme="minorHAnsi"/>
          <w:sz w:val="20"/>
          <w:szCs w:val="20"/>
          <w:lang w:val="sr-Cyrl-BA"/>
        </w:rPr>
        <w:t>2025</w:t>
      </w:r>
      <w:r w:rsidRPr="005767EF">
        <w:rPr>
          <w:rFonts w:asciiTheme="minorHAnsi" w:hAnsiTheme="minorHAnsi"/>
          <w:sz w:val="20"/>
          <w:szCs w:val="20"/>
        </w:rPr>
        <w:t xml:space="preserve">. </w:t>
      </w:r>
      <w:r w:rsidRPr="005767EF">
        <w:rPr>
          <w:rFonts w:asciiTheme="minorHAnsi" w:hAnsiTheme="minorHAnsi"/>
          <w:sz w:val="20"/>
          <w:szCs w:val="20"/>
          <w:lang w:val="sr-Cyrl-RS"/>
        </w:rPr>
        <w:t>г</w:t>
      </w:r>
      <w:r w:rsidRPr="005767EF">
        <w:rPr>
          <w:rFonts w:asciiTheme="minorHAnsi" w:hAnsiTheme="minorHAnsi"/>
          <w:sz w:val="20"/>
          <w:szCs w:val="20"/>
        </w:rPr>
        <w:t>одине</w:t>
      </w:r>
    </w:p>
    <w:p w:rsidR="001538EF" w:rsidRPr="005767EF" w:rsidRDefault="001538EF" w:rsidP="001538EF">
      <w:pPr>
        <w:rPr>
          <w:rFonts w:asciiTheme="minorHAnsi" w:hAnsiTheme="minorHAnsi"/>
          <w:sz w:val="20"/>
          <w:szCs w:val="20"/>
        </w:rPr>
      </w:pPr>
    </w:p>
    <w:p w:rsidR="001538EF" w:rsidRPr="005767EF" w:rsidRDefault="001538EF" w:rsidP="001538EF">
      <w:pPr>
        <w:rPr>
          <w:rFonts w:asciiTheme="minorHAnsi" w:hAnsiTheme="minorHAnsi"/>
          <w:sz w:val="20"/>
          <w:szCs w:val="20"/>
        </w:rPr>
      </w:pPr>
    </w:p>
    <w:p w:rsidR="001538EF" w:rsidRPr="005767EF" w:rsidRDefault="001538EF" w:rsidP="001538EF">
      <w:pPr>
        <w:jc w:val="center"/>
        <w:rPr>
          <w:rFonts w:asciiTheme="minorHAnsi" w:hAnsiTheme="minorHAnsi"/>
          <w:b/>
          <w:sz w:val="20"/>
          <w:szCs w:val="20"/>
          <w:lang w:val="sr-Cyrl-BA"/>
        </w:rPr>
      </w:pPr>
    </w:p>
    <w:p w:rsidR="001538EF" w:rsidRPr="00412718" w:rsidRDefault="00412718" w:rsidP="00412718">
      <w:pPr>
        <w:jc w:val="center"/>
        <w:rPr>
          <w:rFonts w:asciiTheme="minorHAnsi" w:hAnsiTheme="minorHAnsi"/>
          <w:b/>
          <w:sz w:val="20"/>
          <w:szCs w:val="20"/>
          <w:lang w:val="sr-Cyrl-BA"/>
        </w:rPr>
      </w:pPr>
      <w:r>
        <w:rPr>
          <w:rFonts w:asciiTheme="minorHAnsi" w:hAnsiTheme="minorHAnsi"/>
          <w:b/>
          <w:sz w:val="20"/>
          <w:szCs w:val="20"/>
          <w:lang w:val="sr-Cyrl-BA"/>
        </w:rPr>
        <w:t>С А Д Р Ж А Ј</w:t>
      </w:r>
    </w:p>
    <w:p w:rsidR="001538EF" w:rsidRPr="005767EF" w:rsidRDefault="001538EF" w:rsidP="001538EF">
      <w:pPr>
        <w:autoSpaceDE w:val="0"/>
        <w:autoSpaceDN w:val="0"/>
        <w:adjustRightInd w:val="0"/>
        <w:jc w:val="left"/>
        <w:rPr>
          <w:rFonts w:asciiTheme="minorHAnsi" w:eastAsiaTheme="minorHAnsi" w:hAnsiTheme="minorHAnsi"/>
          <w:color w:val="auto"/>
          <w:sz w:val="20"/>
          <w:szCs w:val="20"/>
          <w:lang w:val="sr-Cyrl-BA" w:eastAsia="en-US"/>
        </w:rPr>
      </w:pPr>
    </w:p>
    <w:sdt>
      <w:sdtPr>
        <w:rPr>
          <w:rFonts w:asciiTheme="minorHAnsi" w:hAnsiTheme="minorHAnsi"/>
          <w:sz w:val="20"/>
          <w:szCs w:val="20"/>
        </w:rPr>
        <w:id w:val="1009410468"/>
        <w:docPartObj>
          <w:docPartGallery w:val="Table of Contents"/>
          <w:docPartUnique/>
        </w:docPartObj>
      </w:sdtPr>
      <w:sdtEndPr>
        <w:rPr>
          <w:b/>
          <w:bCs/>
          <w:noProof/>
        </w:rPr>
      </w:sdtEndPr>
      <w:sdtContent>
        <w:p w:rsidR="001538EF" w:rsidRPr="005767EF" w:rsidRDefault="001538EF" w:rsidP="001538EF">
          <w:pPr>
            <w:rPr>
              <w:rFonts w:asciiTheme="minorHAnsi" w:hAnsiTheme="minorHAnsi"/>
              <w:sz w:val="20"/>
              <w:szCs w:val="20"/>
            </w:rPr>
          </w:pPr>
        </w:p>
        <w:p w:rsidR="001538EF" w:rsidRPr="005767EF" w:rsidRDefault="001538EF" w:rsidP="005D0BE8">
          <w:pPr>
            <w:pStyle w:val="TOC1"/>
            <w:tabs>
              <w:tab w:val="clear" w:pos="284"/>
              <w:tab w:val="left" w:pos="426"/>
              <w:tab w:val="left" w:pos="709"/>
            </w:tabs>
            <w:rPr>
              <w:rFonts w:eastAsiaTheme="minorEastAsia"/>
              <w:noProof/>
              <w:color w:val="auto"/>
              <w:lang w:val="sr-Latn-RS" w:eastAsia="sr-Latn-RS"/>
            </w:rPr>
          </w:pPr>
          <w:r w:rsidRPr="005767EF">
            <w:fldChar w:fldCharType="begin"/>
          </w:r>
          <w:r w:rsidRPr="005767EF">
            <w:instrText xml:space="preserve"> TOC \o "1-3" \h \z \u </w:instrText>
          </w:r>
          <w:r w:rsidRPr="005767EF">
            <w:fldChar w:fldCharType="separate"/>
          </w:r>
          <w:hyperlink w:anchor="_Toc135292166" w:history="1">
            <w:r w:rsidR="005D0BE8">
              <w:rPr>
                <w:rStyle w:val="Hyperlink"/>
                <w:noProof/>
                <w:szCs w:val="20"/>
              </w:rPr>
              <w:t xml:space="preserve">       </w:t>
            </w:r>
            <w:r w:rsidRPr="005767EF">
              <w:rPr>
                <w:rStyle w:val="Hyperlink"/>
                <w:noProof/>
                <w:szCs w:val="20"/>
              </w:rPr>
              <w:t>УВОД</w:t>
            </w:r>
            <w:r w:rsidRPr="005767EF">
              <w:rPr>
                <w:noProof/>
                <w:webHidden/>
              </w:rPr>
              <w:tab/>
            </w:r>
            <w:r w:rsidRPr="005767EF">
              <w:rPr>
                <w:noProof/>
                <w:webHidden/>
              </w:rPr>
              <w:fldChar w:fldCharType="begin"/>
            </w:r>
            <w:r w:rsidRPr="005767EF">
              <w:rPr>
                <w:noProof/>
                <w:webHidden/>
              </w:rPr>
              <w:instrText xml:space="preserve"> PAGEREF _Toc135292166 \h </w:instrText>
            </w:r>
            <w:r w:rsidRPr="005767EF">
              <w:rPr>
                <w:noProof/>
                <w:webHidden/>
              </w:rPr>
            </w:r>
            <w:r w:rsidRPr="005767EF">
              <w:rPr>
                <w:noProof/>
                <w:webHidden/>
              </w:rPr>
              <w:fldChar w:fldCharType="separate"/>
            </w:r>
            <w:r w:rsidR="00E902E2">
              <w:rPr>
                <w:noProof/>
                <w:webHidden/>
              </w:rPr>
              <w:t>3</w:t>
            </w:r>
            <w:r w:rsidRPr="005767EF">
              <w:rPr>
                <w:noProof/>
                <w:webHidden/>
              </w:rPr>
              <w:fldChar w:fldCharType="end"/>
            </w:r>
          </w:hyperlink>
        </w:p>
        <w:p w:rsidR="001538EF" w:rsidRPr="005767EF" w:rsidRDefault="002E4B9F" w:rsidP="005D0BE8">
          <w:pPr>
            <w:pStyle w:val="TOC1"/>
            <w:tabs>
              <w:tab w:val="clear" w:pos="284"/>
              <w:tab w:val="left" w:pos="426"/>
              <w:tab w:val="left" w:pos="709"/>
            </w:tabs>
            <w:rPr>
              <w:rFonts w:eastAsiaTheme="minorEastAsia"/>
              <w:noProof/>
              <w:color w:val="auto"/>
              <w:lang w:val="sr-Latn-RS" w:eastAsia="sr-Latn-RS"/>
            </w:rPr>
          </w:pPr>
          <w:hyperlink w:anchor="_Toc135292167" w:history="1">
            <w:r w:rsidR="005D0BE8">
              <w:rPr>
                <w:rStyle w:val="Hyperlink"/>
                <w:rFonts w:eastAsiaTheme="minorHAnsi"/>
                <w:noProof/>
                <w:szCs w:val="20"/>
              </w:rPr>
              <w:t>1</w:t>
            </w:r>
            <w:r w:rsidR="005D0BE8">
              <w:rPr>
                <w:rFonts w:eastAsiaTheme="minorEastAsia"/>
                <w:noProof/>
                <w:color w:val="auto"/>
                <w:lang w:val="sr-Cyrl-RS" w:eastAsia="sr-Latn-RS"/>
              </w:rPr>
              <w:t xml:space="preserve">     </w:t>
            </w:r>
            <w:r w:rsidR="001538EF" w:rsidRPr="005767EF">
              <w:rPr>
                <w:rStyle w:val="Hyperlink"/>
                <w:rFonts w:eastAsiaTheme="minorHAnsi"/>
                <w:noProof/>
                <w:szCs w:val="20"/>
              </w:rPr>
              <w:t xml:space="preserve">ОРГАНИЗАЦИЈА И НАЧИН РАДА ГАРАНТНОГ ФОНДА </w:t>
            </w:r>
            <w:r w:rsidR="001538EF" w:rsidRPr="005767EF">
              <w:rPr>
                <w:rStyle w:val="Hyperlink"/>
                <w:rFonts w:eastAsiaTheme="minorHAnsi"/>
                <w:noProof/>
                <w:szCs w:val="20"/>
                <w:lang w:val="sr-Cyrl-BA"/>
              </w:rPr>
              <w:t>РЕПУБЛИКЕ СРПСКЕ</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_Toc135292167 \h </w:instrText>
            </w:r>
            <w:r w:rsidR="001538EF" w:rsidRPr="005767EF">
              <w:rPr>
                <w:noProof/>
                <w:webHidden/>
              </w:rPr>
            </w:r>
            <w:r w:rsidR="001538EF" w:rsidRPr="005767EF">
              <w:rPr>
                <w:noProof/>
                <w:webHidden/>
              </w:rPr>
              <w:fldChar w:fldCharType="separate"/>
            </w:r>
            <w:r w:rsidR="00E902E2">
              <w:rPr>
                <w:noProof/>
                <w:webHidden/>
              </w:rPr>
              <w:t>3</w:t>
            </w:r>
            <w:r w:rsidR="001538EF" w:rsidRPr="005767EF">
              <w:rPr>
                <w:noProof/>
                <w:webHidden/>
              </w:rPr>
              <w:fldChar w:fldCharType="end"/>
            </w:r>
          </w:hyperlink>
        </w:p>
        <w:p w:rsidR="001538EF" w:rsidRPr="005767EF" w:rsidRDefault="002E4B9F" w:rsidP="005D0BE8">
          <w:pPr>
            <w:pStyle w:val="TOC1"/>
            <w:tabs>
              <w:tab w:val="clear" w:pos="284"/>
              <w:tab w:val="left" w:pos="426"/>
              <w:tab w:val="left" w:pos="709"/>
            </w:tabs>
            <w:rPr>
              <w:rFonts w:eastAsiaTheme="minorEastAsia"/>
              <w:noProof/>
              <w:color w:val="auto"/>
              <w:lang w:val="sr-Latn-RS" w:eastAsia="sr-Latn-RS"/>
            </w:rPr>
          </w:pPr>
          <w:hyperlink w:anchor="_Toc135292168" w:history="1">
            <w:r w:rsidR="005D0BE8">
              <w:rPr>
                <w:rStyle w:val="Hyperlink"/>
                <w:rFonts w:eastAsiaTheme="minorHAnsi"/>
                <w:noProof/>
                <w:szCs w:val="20"/>
              </w:rPr>
              <w:t>2</w:t>
            </w:r>
            <w:r w:rsidR="005D0BE8">
              <w:rPr>
                <w:rFonts w:eastAsiaTheme="minorEastAsia"/>
                <w:noProof/>
                <w:color w:val="auto"/>
                <w:lang w:val="sr-Cyrl-RS" w:eastAsia="sr-Latn-RS"/>
              </w:rPr>
              <w:t xml:space="preserve">     </w:t>
            </w:r>
            <w:r w:rsidR="00EA08D5">
              <w:rPr>
                <w:rStyle w:val="Hyperlink"/>
                <w:rFonts w:eastAsiaTheme="minorHAnsi"/>
                <w:noProof/>
                <w:szCs w:val="20"/>
              </w:rPr>
              <w:t>АНАЛИЗА ИЗДАНИХ</w:t>
            </w:r>
            <w:r w:rsidR="001538EF" w:rsidRPr="005767EF">
              <w:rPr>
                <w:rStyle w:val="Hyperlink"/>
                <w:rFonts w:eastAsiaTheme="minorHAnsi"/>
                <w:noProof/>
                <w:szCs w:val="20"/>
              </w:rPr>
              <w:t xml:space="preserve"> ГАРАНЦИЈА У 202</w:t>
            </w:r>
            <w:r w:rsidR="00BB1603">
              <w:rPr>
                <w:rStyle w:val="Hyperlink"/>
                <w:rFonts w:eastAsiaTheme="minorHAnsi"/>
                <w:noProof/>
                <w:szCs w:val="20"/>
                <w:lang w:val="sr-Cyrl-RS"/>
              </w:rPr>
              <w:t>4</w:t>
            </w:r>
            <w:r w:rsidR="001538EF" w:rsidRPr="005767EF">
              <w:rPr>
                <w:rStyle w:val="Hyperlink"/>
                <w:rFonts w:eastAsiaTheme="minorHAnsi"/>
                <w:noProof/>
                <w:szCs w:val="20"/>
              </w:rPr>
              <w:t>. ГОДИНИ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_Toc135292168 \h </w:instrText>
            </w:r>
            <w:r w:rsidR="001538EF" w:rsidRPr="005767EF">
              <w:rPr>
                <w:noProof/>
                <w:webHidden/>
              </w:rPr>
            </w:r>
            <w:r w:rsidR="001538EF" w:rsidRPr="005767EF">
              <w:rPr>
                <w:noProof/>
                <w:webHidden/>
              </w:rPr>
              <w:fldChar w:fldCharType="separate"/>
            </w:r>
            <w:r w:rsidR="00E902E2">
              <w:rPr>
                <w:noProof/>
                <w:webHidden/>
              </w:rPr>
              <w:t>4</w:t>
            </w:r>
            <w:r w:rsidR="001538EF" w:rsidRPr="005767EF">
              <w:rPr>
                <w:noProof/>
                <w:webHidden/>
              </w:rPr>
              <w:fldChar w:fldCharType="end"/>
            </w:r>
          </w:hyperlink>
        </w:p>
        <w:p w:rsidR="001538EF" w:rsidRPr="003B5CD3" w:rsidRDefault="00BA0C56" w:rsidP="00BA0C56">
          <w:pPr>
            <w:pStyle w:val="Heading2"/>
            <w:numPr>
              <w:ilvl w:val="0"/>
              <w:numId w:val="0"/>
            </w:numPr>
            <w:ind w:left="426" w:hanging="426"/>
            <w:rPr>
              <w:rFonts w:asciiTheme="minorHAnsi" w:hAnsiTheme="minorHAnsi"/>
              <w:color w:val="000000" w:themeColor="text1"/>
              <w:szCs w:val="20"/>
            </w:rPr>
          </w:pPr>
          <w:r>
            <w:rPr>
              <w:lang w:val="sr-Cyrl-RS"/>
            </w:rPr>
            <w:t xml:space="preserve">  </w:t>
          </w:r>
          <w:r w:rsidR="00E902E2">
            <w:rPr>
              <w:lang w:val="sr-Cyrl-RS"/>
            </w:rPr>
            <w:t xml:space="preserve">      </w:t>
          </w:r>
          <w:hyperlink w:anchor="_Toc135292169" w:history="1">
            <w:r w:rsidR="005D0BE8">
              <w:rPr>
                <w:rStyle w:val="Hyperlink"/>
                <w:noProof/>
                <w:szCs w:val="20"/>
              </w:rPr>
              <w:t>2</w:t>
            </w:r>
            <w:r w:rsidR="001538EF" w:rsidRPr="005767EF">
              <w:rPr>
                <w:rStyle w:val="Hyperlink"/>
                <w:noProof/>
                <w:szCs w:val="20"/>
              </w:rPr>
              <w:t>.1</w:t>
            </w:r>
            <w:r w:rsidR="003B5CD3">
              <w:rPr>
                <w:rFonts w:eastAsiaTheme="minorEastAsia"/>
                <w:noProof/>
                <w:lang w:val="sr-Cyrl-RS" w:eastAsia="sr-Latn-RS"/>
              </w:rPr>
              <w:t xml:space="preserve"> </w:t>
            </w:r>
            <w:r w:rsidR="003B5CD3">
              <w:rPr>
                <w:rFonts w:asciiTheme="minorHAnsi" w:hAnsiTheme="minorHAnsi"/>
                <w:color w:val="000000" w:themeColor="text1"/>
                <w:szCs w:val="20"/>
                <w:lang w:val="sr-Cyrl-RS"/>
              </w:rPr>
              <w:t>ПРЕГЛЕД СТАТУСА</w:t>
            </w:r>
            <w:r w:rsidR="003B5CD3" w:rsidRPr="00847319">
              <w:rPr>
                <w:rFonts w:asciiTheme="minorHAnsi" w:hAnsiTheme="minorHAnsi"/>
                <w:color w:val="000000" w:themeColor="text1"/>
                <w:szCs w:val="20"/>
              </w:rPr>
              <w:t xml:space="preserve"> ГАРАНЦИЈА У </w:t>
            </w:r>
            <w:r w:rsidR="00077D9C">
              <w:rPr>
                <w:rFonts w:asciiTheme="minorHAnsi" w:hAnsiTheme="minorHAnsi"/>
                <w:color w:val="000000" w:themeColor="text1"/>
                <w:szCs w:val="20"/>
                <w:lang w:val="sr-Cyrl-RS"/>
              </w:rPr>
              <w:t>ОКВИРУ ГАРАНТНИХ ЛИНИЈА.........................</w:t>
            </w:r>
            <w:r w:rsidR="00E902E2">
              <w:rPr>
                <w:rFonts w:asciiTheme="minorHAnsi" w:hAnsiTheme="minorHAnsi"/>
                <w:color w:val="000000" w:themeColor="text1"/>
                <w:szCs w:val="20"/>
                <w:lang w:val="sr-Cyrl-RS"/>
              </w:rPr>
              <w:t>..........................</w:t>
            </w:r>
            <w:r w:rsidR="00077D9C">
              <w:rPr>
                <w:rFonts w:asciiTheme="minorHAnsi" w:hAnsiTheme="minorHAnsi"/>
                <w:color w:val="000000" w:themeColor="text1"/>
                <w:szCs w:val="20"/>
                <w:lang w:val="sr-Cyrl-RS"/>
              </w:rPr>
              <w:t>.</w:t>
            </w:r>
            <w:r w:rsidR="001538EF" w:rsidRPr="005767EF">
              <w:rPr>
                <w:noProof/>
                <w:webHidden/>
              </w:rPr>
              <w:fldChar w:fldCharType="begin"/>
            </w:r>
            <w:r w:rsidR="001538EF" w:rsidRPr="005767EF">
              <w:rPr>
                <w:noProof/>
                <w:webHidden/>
              </w:rPr>
              <w:instrText xml:space="preserve"> PAGEREF _Toc135292169 \h </w:instrText>
            </w:r>
            <w:r w:rsidR="001538EF" w:rsidRPr="005767EF">
              <w:rPr>
                <w:noProof/>
                <w:webHidden/>
              </w:rPr>
            </w:r>
            <w:r w:rsidR="001538EF" w:rsidRPr="005767EF">
              <w:rPr>
                <w:noProof/>
                <w:webHidden/>
              </w:rPr>
              <w:fldChar w:fldCharType="separate"/>
            </w:r>
            <w:r w:rsidR="00E902E2">
              <w:rPr>
                <w:noProof/>
                <w:webHidden/>
              </w:rPr>
              <w:t>4</w:t>
            </w:r>
            <w:r w:rsidR="001538EF" w:rsidRPr="005767EF">
              <w:rPr>
                <w:noProof/>
                <w:webHidden/>
              </w:rPr>
              <w:fldChar w:fldCharType="end"/>
            </w:r>
          </w:hyperlink>
        </w:p>
        <w:p w:rsidR="001538EF" w:rsidRPr="00444987" w:rsidRDefault="005D0BE8" w:rsidP="00BC5934">
          <w:pPr>
            <w:pStyle w:val="TOC2"/>
            <w:rPr>
              <w:rFonts w:eastAsiaTheme="minorEastAsia"/>
              <w:noProof/>
              <w:color w:val="auto"/>
              <w:lang w:val="sr-Cyrl-RS" w:eastAsia="sr-Latn-RS"/>
            </w:rPr>
          </w:pPr>
          <w:r>
            <w:rPr>
              <w:lang w:val="sr-Cyrl-RS"/>
            </w:rPr>
            <w:t xml:space="preserve"> </w:t>
          </w:r>
          <w:r w:rsidR="00E902E2">
            <w:rPr>
              <w:lang w:val="sr-Cyrl-RS"/>
            </w:rPr>
            <w:t xml:space="preserve">      </w:t>
          </w:r>
          <w:r>
            <w:rPr>
              <w:lang w:val="sr-Cyrl-RS"/>
            </w:rPr>
            <w:t xml:space="preserve"> </w:t>
          </w:r>
          <w:hyperlink w:anchor="_Toc135292170" w:history="1">
            <w:r>
              <w:rPr>
                <w:rStyle w:val="Hyperlink"/>
                <w:noProof/>
                <w:szCs w:val="20"/>
              </w:rPr>
              <w:t>2</w:t>
            </w:r>
            <w:r w:rsidR="001538EF" w:rsidRPr="005767EF">
              <w:rPr>
                <w:rStyle w:val="Hyperlink"/>
                <w:noProof/>
                <w:szCs w:val="20"/>
              </w:rPr>
              <w:t>.2</w:t>
            </w:r>
            <w:r w:rsidR="00E902E2" w:rsidRPr="00E902E2">
              <w:rPr>
                <w:lang w:val="sr-Latn-RS" w:eastAsia="sr-Latn-RS"/>
              </w:rPr>
              <w:t xml:space="preserve"> </w:t>
            </w:r>
            <w:r w:rsidR="00E902E2" w:rsidRPr="00E902E2">
              <w:rPr>
                <w:rStyle w:val="Hyperlink"/>
                <w:noProof/>
                <w:szCs w:val="20"/>
              </w:rPr>
              <w:t>АНАЛИЗА ГАРАНЦИЈА У ОКВИРУ КРЕДИТНОГ ПОРТФЕЉА</w:t>
            </w:r>
            <w:r w:rsidR="001538EF" w:rsidRPr="005767EF">
              <w:rPr>
                <w:rFonts w:eastAsiaTheme="minorEastAsia"/>
                <w:noProof/>
                <w:color w:val="auto"/>
                <w:lang w:val="sr-Latn-RS" w:eastAsia="sr-Latn-RS"/>
              </w:rPr>
              <w:tab/>
            </w:r>
            <w:r w:rsidR="00BA0C56">
              <w:rPr>
                <w:noProof/>
                <w:webHidden/>
                <w:lang w:val="sr-Cyrl-RS"/>
              </w:rPr>
              <w:t>9</w:t>
            </w:r>
          </w:hyperlink>
        </w:p>
        <w:p w:rsidR="001538EF" w:rsidRPr="00EA08D5" w:rsidRDefault="00EA08D5" w:rsidP="00BC5934">
          <w:pPr>
            <w:pStyle w:val="TOC2"/>
            <w:rPr>
              <w:rFonts w:eastAsiaTheme="minorEastAsia"/>
              <w:noProof/>
              <w:color w:val="auto"/>
              <w:lang w:val="sr-Cyrl-RS" w:eastAsia="sr-Latn-RS"/>
            </w:rPr>
          </w:pPr>
          <w:r>
            <w:rPr>
              <w:lang w:val="sr-Cyrl-RS"/>
            </w:rPr>
            <w:t xml:space="preserve"> </w:t>
          </w:r>
          <w:r w:rsidR="00E902E2">
            <w:rPr>
              <w:lang w:val="sr-Cyrl-RS"/>
            </w:rPr>
            <w:t xml:space="preserve">      </w:t>
          </w:r>
          <w:r>
            <w:rPr>
              <w:lang w:val="sr-Cyrl-RS"/>
            </w:rPr>
            <w:t xml:space="preserve"> </w:t>
          </w:r>
          <w:hyperlink w:anchor="_Toc135292171" w:history="1">
            <w:r w:rsidR="005D0BE8">
              <w:rPr>
                <w:rStyle w:val="Hyperlink"/>
                <w:noProof/>
                <w:szCs w:val="20"/>
              </w:rPr>
              <w:t>2</w:t>
            </w:r>
            <w:r w:rsidR="001538EF" w:rsidRPr="005767EF">
              <w:rPr>
                <w:rStyle w:val="Hyperlink"/>
                <w:noProof/>
                <w:szCs w:val="20"/>
              </w:rPr>
              <w:t>.3</w:t>
            </w:r>
            <w:r w:rsidR="001538EF" w:rsidRPr="005767EF">
              <w:rPr>
                <w:rFonts w:eastAsiaTheme="minorEastAsia"/>
                <w:noProof/>
                <w:color w:val="auto"/>
                <w:lang w:val="sr-Latn-RS" w:eastAsia="sr-Latn-RS"/>
              </w:rPr>
              <w:tab/>
            </w:r>
            <w:r w:rsidRPr="00EA08D5">
              <w:rPr>
                <w:rFonts w:eastAsiaTheme="minorEastAsia"/>
                <w:noProof/>
                <w:color w:val="auto"/>
                <w:lang w:val="sr-Latn-RS" w:eastAsia="sr-Latn-RS"/>
              </w:rPr>
              <w:t xml:space="preserve">АНАЛИЗА  </w:t>
            </w:r>
            <w:r>
              <w:rPr>
                <w:rFonts w:eastAsiaTheme="minorEastAsia"/>
                <w:noProof/>
                <w:color w:val="auto"/>
                <w:lang w:val="sr-Cyrl-RS" w:eastAsia="sr-Latn-RS"/>
              </w:rPr>
              <w:t>ГАРАНЦИЈА</w:t>
            </w:r>
          </w:hyperlink>
          <w:r>
            <w:rPr>
              <w:noProof/>
              <w:lang w:val="sr-Cyrl-RS"/>
            </w:rPr>
            <w:t xml:space="preserve"> НА ЕМИТОВАНЕ ХАРТИЈЕ ОД ВРИЈЕДНОСТИ....................</w:t>
          </w:r>
          <w:r w:rsidR="002E7B50">
            <w:rPr>
              <w:noProof/>
              <w:lang w:val="sr-Cyrl-RS"/>
            </w:rPr>
            <w:t>..</w:t>
          </w:r>
          <w:r w:rsidR="00E902E2">
            <w:rPr>
              <w:noProof/>
            </w:rPr>
            <w:t>.................</w:t>
          </w:r>
          <w:r w:rsidR="00E902E2">
            <w:rPr>
              <w:noProof/>
              <w:lang w:val="sr-Cyrl-RS"/>
            </w:rPr>
            <w:t>..</w:t>
          </w:r>
          <w:r>
            <w:rPr>
              <w:noProof/>
              <w:lang w:val="sr-Cyrl-RS"/>
            </w:rPr>
            <w:t>..16</w:t>
          </w:r>
        </w:p>
        <w:p w:rsidR="00E902E2" w:rsidRDefault="00EA08D5" w:rsidP="00E902E2">
          <w:pPr>
            <w:pStyle w:val="TOC2"/>
            <w:rPr>
              <w:noProof/>
              <w:lang w:val="sr-Cyrl-RS"/>
            </w:rPr>
          </w:pPr>
          <w:r>
            <w:rPr>
              <w:lang w:val="sr-Cyrl-RS"/>
            </w:rPr>
            <w:t xml:space="preserve"> </w:t>
          </w:r>
          <w:r w:rsidR="00E902E2">
            <w:rPr>
              <w:lang w:val="sr-Cyrl-RS"/>
            </w:rPr>
            <w:t xml:space="preserve">      </w:t>
          </w:r>
          <w:r>
            <w:rPr>
              <w:lang w:val="sr-Cyrl-RS"/>
            </w:rPr>
            <w:t xml:space="preserve"> </w:t>
          </w:r>
          <w:r w:rsidR="0084494C">
            <w:fldChar w:fldCharType="begin"/>
          </w:r>
          <w:r w:rsidR="0084494C">
            <w:instrText xml:space="preserve"> HYPERLINK \l "_Toc135292172" </w:instrText>
          </w:r>
          <w:r w:rsidR="0084494C">
            <w:fldChar w:fldCharType="separate"/>
          </w:r>
          <w:r w:rsidR="005D0BE8">
            <w:rPr>
              <w:rStyle w:val="Hyperlink"/>
              <w:noProof/>
              <w:szCs w:val="20"/>
            </w:rPr>
            <w:t>2</w:t>
          </w:r>
          <w:r w:rsidR="001538EF" w:rsidRPr="005767EF">
            <w:rPr>
              <w:rStyle w:val="Hyperlink"/>
              <w:noProof/>
              <w:szCs w:val="20"/>
            </w:rPr>
            <w:t>.4</w:t>
          </w:r>
          <w:r w:rsidR="00E902E2" w:rsidRPr="00E902E2">
            <w:rPr>
              <w:noProof/>
            </w:rPr>
            <w:t xml:space="preserve"> </w:t>
          </w:r>
          <w:r w:rsidR="00E902E2" w:rsidRPr="00EA08D5">
            <w:rPr>
              <w:noProof/>
            </w:rPr>
            <w:t>АНАЛИЗА ИЗЛОЖЕНОСТИ ГАРАНТНОГ ФОНДА РЕПУБЛИКЕ СРПСКЕ ПРЕМА ФИНАНСИЈСКИ</w:t>
          </w:r>
          <w:r w:rsidR="00E902E2">
            <w:rPr>
              <w:noProof/>
            </w:rPr>
            <w:t>М</w:t>
          </w:r>
        </w:p>
        <w:p w:rsidR="001538EF" w:rsidRPr="00E902E2" w:rsidRDefault="00E902E2" w:rsidP="00E902E2">
          <w:pPr>
            <w:pStyle w:val="TOC2"/>
            <w:rPr>
              <w:noProof/>
            </w:rPr>
          </w:pPr>
          <w:r>
            <w:rPr>
              <w:noProof/>
              <w:lang w:val="sr-Cyrl-RS"/>
            </w:rPr>
            <w:t xml:space="preserve">              </w:t>
          </w:r>
          <w:r>
            <w:rPr>
              <w:noProof/>
            </w:rPr>
            <w:t xml:space="preserve"> ПОСРЕДНИЦИМА НА ДАН 31.12.202</w:t>
          </w:r>
          <w:r>
            <w:rPr>
              <w:noProof/>
              <w:lang w:val="sr-Cyrl-RS"/>
            </w:rPr>
            <w:t>4</w:t>
          </w:r>
          <w:r w:rsidRPr="00EA08D5">
            <w:rPr>
              <w:noProof/>
            </w:rPr>
            <w:t>.</w:t>
          </w:r>
          <w:r>
            <w:rPr>
              <w:noProof/>
            </w:rPr>
            <w:t xml:space="preserve"> </w:t>
          </w:r>
          <w:r>
            <w:rPr>
              <w:noProof/>
              <w:lang w:val="sr-Cyrl-RS"/>
            </w:rPr>
            <w:t>ГОДИНЕ</w:t>
          </w:r>
          <w:r w:rsidR="001538EF" w:rsidRPr="005767EF">
            <w:rPr>
              <w:rFonts w:eastAsiaTheme="minorEastAsia"/>
              <w:noProof/>
              <w:color w:val="auto"/>
              <w:lang w:val="sr-Latn-RS" w:eastAsia="sr-Latn-RS"/>
            </w:rPr>
            <w:tab/>
          </w:r>
          <w:r w:rsidR="0084494C">
            <w:rPr>
              <w:rFonts w:eastAsiaTheme="minorEastAsia"/>
              <w:noProof/>
              <w:color w:val="auto"/>
              <w:lang w:val="sr-Latn-RS" w:eastAsia="sr-Latn-RS"/>
            </w:rPr>
            <w:fldChar w:fldCharType="end"/>
          </w:r>
          <w:r w:rsidR="00EA08D5" w:rsidRPr="00EA08D5">
            <w:rPr>
              <w:noProof/>
              <w:webHidden/>
            </w:rPr>
            <w:fldChar w:fldCharType="begin"/>
          </w:r>
          <w:r w:rsidR="00EA08D5" w:rsidRPr="00EA08D5">
            <w:rPr>
              <w:noProof/>
              <w:webHidden/>
            </w:rPr>
            <w:instrText xml:space="preserve"> PAGEREF _Toc135292171 \h </w:instrText>
          </w:r>
          <w:r w:rsidR="00EA08D5" w:rsidRPr="00EA08D5">
            <w:rPr>
              <w:noProof/>
              <w:webHidden/>
            </w:rPr>
          </w:r>
          <w:r w:rsidR="00EA08D5" w:rsidRPr="00EA08D5">
            <w:rPr>
              <w:noProof/>
              <w:webHidden/>
            </w:rPr>
            <w:fldChar w:fldCharType="separate"/>
          </w:r>
          <w:r>
            <w:rPr>
              <w:noProof/>
              <w:webHidden/>
            </w:rPr>
            <w:t>15</w:t>
          </w:r>
          <w:r w:rsidR="00EA08D5" w:rsidRPr="00EA08D5">
            <w:rPr>
              <w:noProof/>
              <w:webHidden/>
            </w:rPr>
            <w:fldChar w:fldCharType="end"/>
          </w:r>
        </w:p>
        <w:p w:rsidR="001538EF" w:rsidRPr="005767EF" w:rsidRDefault="00BC5934" w:rsidP="00BC5934">
          <w:pPr>
            <w:pStyle w:val="TOC2"/>
            <w:rPr>
              <w:rFonts w:eastAsiaTheme="minorEastAsia"/>
              <w:noProof/>
              <w:color w:val="auto"/>
              <w:lang w:val="sr-Latn-RS" w:eastAsia="sr-Latn-RS"/>
            </w:rPr>
          </w:pPr>
          <w:r>
            <w:rPr>
              <w:lang w:val="sr-Cyrl-RS"/>
            </w:rPr>
            <w:t xml:space="preserve">  </w:t>
          </w:r>
          <w:r w:rsidR="00E902E2">
            <w:rPr>
              <w:lang w:val="sr-Cyrl-RS"/>
            </w:rPr>
            <w:t xml:space="preserve">      </w:t>
          </w:r>
          <w:hyperlink w:anchor="_Toc135292173" w:history="1">
            <w:r w:rsidR="005D0BE8">
              <w:rPr>
                <w:rStyle w:val="Hyperlink"/>
                <w:caps/>
                <w:noProof/>
                <w:szCs w:val="20"/>
                <w:lang w:val="sr-Latn-RS" w:eastAsia="en-US"/>
              </w:rPr>
              <w:t>2</w:t>
            </w:r>
            <w:r w:rsidR="001538EF" w:rsidRPr="005767EF">
              <w:rPr>
                <w:rStyle w:val="Hyperlink"/>
                <w:caps/>
                <w:noProof/>
                <w:szCs w:val="20"/>
                <w:lang w:val="sr-Latn-RS" w:eastAsia="en-US"/>
              </w:rPr>
              <w:t>.5</w:t>
            </w:r>
            <w:r w:rsidR="00E902E2" w:rsidRPr="00E902E2">
              <w:t xml:space="preserve"> </w:t>
            </w:r>
            <w:r w:rsidR="00E902E2" w:rsidRPr="00E902E2">
              <w:rPr>
                <w:rStyle w:val="Hyperlink"/>
                <w:caps/>
                <w:noProof/>
                <w:szCs w:val="20"/>
                <w:lang w:val="sr-Latn-RS" w:eastAsia="en-US"/>
              </w:rPr>
              <w:t>анализа гаранција из ГАРАНТНОГ програма COVID-19 на дан 31.12.2024. године</w:t>
            </w:r>
            <w:r w:rsidR="001538EF" w:rsidRPr="005767EF">
              <w:rPr>
                <w:rFonts w:eastAsiaTheme="minorEastAsia"/>
                <w:noProof/>
                <w:color w:val="auto"/>
                <w:lang w:val="sr-Latn-RS" w:eastAsia="sr-Latn-RS"/>
              </w:rPr>
              <w:tab/>
            </w:r>
            <w:r w:rsidR="001538EF" w:rsidRPr="005767EF">
              <w:rPr>
                <w:noProof/>
                <w:webHidden/>
              </w:rPr>
              <w:fldChar w:fldCharType="begin"/>
            </w:r>
            <w:r w:rsidR="001538EF" w:rsidRPr="005767EF">
              <w:rPr>
                <w:noProof/>
                <w:webHidden/>
              </w:rPr>
              <w:instrText xml:space="preserve"> PAGEREF _Toc135292173 \h </w:instrText>
            </w:r>
            <w:r w:rsidR="001538EF" w:rsidRPr="005767EF">
              <w:rPr>
                <w:noProof/>
                <w:webHidden/>
              </w:rPr>
            </w:r>
            <w:r w:rsidR="001538EF" w:rsidRPr="005767EF">
              <w:rPr>
                <w:noProof/>
                <w:webHidden/>
              </w:rPr>
              <w:fldChar w:fldCharType="separate"/>
            </w:r>
            <w:r w:rsidR="00E902E2">
              <w:rPr>
                <w:noProof/>
                <w:webHidden/>
              </w:rPr>
              <w:t>17</w:t>
            </w:r>
            <w:r w:rsidR="001538EF" w:rsidRPr="005767EF">
              <w:rPr>
                <w:noProof/>
                <w:webHidden/>
              </w:rPr>
              <w:fldChar w:fldCharType="end"/>
            </w:r>
          </w:hyperlink>
        </w:p>
        <w:p w:rsidR="001538EF" w:rsidRPr="005767EF" w:rsidRDefault="002E4B9F" w:rsidP="005D0BE8">
          <w:pPr>
            <w:pStyle w:val="TOC1"/>
            <w:tabs>
              <w:tab w:val="left" w:pos="426"/>
              <w:tab w:val="left" w:pos="709"/>
            </w:tabs>
            <w:rPr>
              <w:rFonts w:eastAsiaTheme="minorEastAsia"/>
              <w:noProof/>
              <w:color w:val="auto"/>
              <w:lang w:val="sr-Latn-RS" w:eastAsia="sr-Latn-RS"/>
            </w:rPr>
          </w:pPr>
          <w:hyperlink w:anchor="_Toc135292174" w:history="1">
            <w:r w:rsidR="005D0BE8">
              <w:rPr>
                <w:rStyle w:val="Hyperlink"/>
                <w:noProof/>
                <w:szCs w:val="20"/>
              </w:rPr>
              <w:t>3</w:t>
            </w:r>
            <w:r w:rsidR="001538EF" w:rsidRPr="005767EF">
              <w:rPr>
                <w:rFonts w:eastAsiaTheme="minorEastAsia"/>
                <w:noProof/>
                <w:color w:val="auto"/>
                <w:lang w:val="sr-Latn-RS" w:eastAsia="sr-Latn-RS"/>
              </w:rPr>
              <w:tab/>
            </w:r>
            <w:r w:rsidR="005D0BE8">
              <w:rPr>
                <w:rFonts w:eastAsiaTheme="minorEastAsia"/>
                <w:noProof/>
                <w:color w:val="auto"/>
                <w:lang w:val="sr-Cyrl-RS" w:eastAsia="sr-Latn-RS"/>
              </w:rPr>
              <w:t xml:space="preserve"> </w:t>
            </w:r>
            <w:r w:rsidR="001538EF" w:rsidRPr="005767EF">
              <w:rPr>
                <w:rStyle w:val="Hyperlink"/>
                <w:noProof/>
                <w:szCs w:val="20"/>
              </w:rPr>
              <w:t xml:space="preserve">АНАЛИЗА </w:t>
            </w:r>
            <w:r w:rsidR="001538EF" w:rsidRPr="005767EF">
              <w:rPr>
                <w:rStyle w:val="Hyperlink"/>
                <w:noProof/>
                <w:szCs w:val="20"/>
                <w:lang w:val="sr-Cyrl-BA"/>
              </w:rPr>
              <w:t xml:space="preserve">ФИНАНСИЈСКОГ </w:t>
            </w:r>
            <w:r w:rsidR="002E7B50">
              <w:rPr>
                <w:rStyle w:val="Hyperlink"/>
                <w:noProof/>
                <w:szCs w:val="20"/>
                <w:lang w:val="sr-Cyrl-BA"/>
              </w:rPr>
              <w:t>РЕЗУЛТАТ</w:t>
            </w:r>
            <w:r w:rsidR="00BC5934">
              <w:rPr>
                <w:rStyle w:val="Hyperlink"/>
                <w:noProof/>
                <w:szCs w:val="20"/>
                <w:lang w:val="sr-Cyrl-BA"/>
              </w:rPr>
              <w:t>А</w:t>
            </w:r>
            <w:r w:rsidR="005D0BE8">
              <w:rPr>
                <w:rStyle w:val="Hyperlink"/>
                <w:noProof/>
                <w:szCs w:val="20"/>
              </w:rPr>
              <w:t xml:space="preserve"> </w:t>
            </w:r>
            <w:r w:rsidR="005D0BE8">
              <w:rPr>
                <w:rStyle w:val="Hyperlink"/>
                <w:noProof/>
                <w:szCs w:val="20"/>
                <w:lang w:val="sr-Cyrl-RS"/>
              </w:rPr>
              <w:t>У</w:t>
            </w:r>
            <w:r w:rsidR="001538EF" w:rsidRPr="005767EF">
              <w:rPr>
                <w:rStyle w:val="Hyperlink"/>
                <w:noProof/>
                <w:szCs w:val="20"/>
              </w:rPr>
              <w:t xml:space="preserve"> 202</w:t>
            </w:r>
            <w:r w:rsidR="00BB1603">
              <w:rPr>
                <w:rStyle w:val="Hyperlink"/>
                <w:noProof/>
                <w:szCs w:val="20"/>
                <w:lang w:val="sr-Cyrl-RS"/>
              </w:rPr>
              <w:t>4</w:t>
            </w:r>
            <w:r w:rsidR="001538EF" w:rsidRPr="005767EF">
              <w:rPr>
                <w:rStyle w:val="Hyperlink"/>
                <w:noProof/>
                <w:szCs w:val="20"/>
              </w:rPr>
              <w:t>.</w:t>
            </w:r>
            <w:r w:rsidR="007339B5" w:rsidRPr="005767EF">
              <w:rPr>
                <w:rStyle w:val="Hyperlink"/>
                <w:noProof/>
                <w:szCs w:val="20"/>
              </w:rPr>
              <w:t xml:space="preserve"> </w:t>
            </w:r>
            <w:r w:rsidR="005D0BE8">
              <w:rPr>
                <w:rStyle w:val="Hyperlink"/>
                <w:noProof/>
                <w:szCs w:val="20"/>
              </w:rPr>
              <w:t>ГОДИН</w:t>
            </w:r>
            <w:r w:rsidR="005D0BE8">
              <w:rPr>
                <w:rStyle w:val="Hyperlink"/>
                <w:noProof/>
                <w:szCs w:val="20"/>
                <w:lang w:val="sr-Cyrl-RS"/>
              </w:rPr>
              <w:t>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_Toc135292174 \h </w:instrText>
            </w:r>
            <w:r w:rsidR="001538EF" w:rsidRPr="005767EF">
              <w:rPr>
                <w:noProof/>
                <w:webHidden/>
              </w:rPr>
            </w:r>
            <w:r w:rsidR="001538EF" w:rsidRPr="005767EF">
              <w:rPr>
                <w:noProof/>
                <w:webHidden/>
              </w:rPr>
              <w:fldChar w:fldCharType="separate"/>
            </w:r>
            <w:r w:rsidR="00E902E2">
              <w:rPr>
                <w:noProof/>
                <w:webHidden/>
              </w:rPr>
              <w:t>20</w:t>
            </w:r>
            <w:r w:rsidR="001538EF" w:rsidRPr="005767EF">
              <w:rPr>
                <w:noProof/>
                <w:webHidden/>
              </w:rPr>
              <w:fldChar w:fldCharType="end"/>
            </w:r>
          </w:hyperlink>
        </w:p>
        <w:p w:rsidR="001538EF" w:rsidRPr="005767EF" w:rsidRDefault="005D0BE8" w:rsidP="00BC5934">
          <w:pPr>
            <w:pStyle w:val="TOC2"/>
            <w:rPr>
              <w:rFonts w:eastAsiaTheme="minorEastAsia"/>
              <w:noProof/>
              <w:color w:val="auto"/>
              <w:lang w:val="sr-Latn-RS" w:eastAsia="sr-Latn-RS"/>
            </w:rPr>
          </w:pPr>
          <w:r>
            <w:rPr>
              <w:lang w:val="sr-Cyrl-RS"/>
            </w:rPr>
            <w:t xml:space="preserve">  </w:t>
          </w:r>
          <w:r w:rsidR="00E902E2">
            <w:rPr>
              <w:lang w:val="sr-Cyrl-RS"/>
            </w:rPr>
            <w:t xml:space="preserve">     </w:t>
          </w:r>
          <w:r>
            <w:rPr>
              <w:lang w:val="sr-Cyrl-RS"/>
            </w:rPr>
            <w:t xml:space="preserve"> </w:t>
          </w:r>
          <w:hyperlink w:anchor="_Toc135292175" w:history="1">
            <w:r>
              <w:rPr>
                <w:rStyle w:val="Hyperlink"/>
                <w:noProof/>
                <w:szCs w:val="20"/>
              </w:rPr>
              <w:t>3</w:t>
            </w:r>
            <w:r w:rsidR="001538EF" w:rsidRPr="005767EF">
              <w:rPr>
                <w:rStyle w:val="Hyperlink"/>
                <w:noProof/>
                <w:szCs w:val="20"/>
              </w:rPr>
              <w:t>.1</w:t>
            </w:r>
            <w:r w:rsidR="00E902E2" w:rsidRPr="00E902E2">
              <w:t xml:space="preserve"> </w:t>
            </w:r>
            <w:r w:rsidR="00E902E2" w:rsidRPr="00E902E2">
              <w:rPr>
                <w:rStyle w:val="Hyperlink"/>
                <w:noProof/>
                <w:szCs w:val="20"/>
              </w:rPr>
              <w:t>АНАЛИЗА ОСТВАРЕНИХ ПРИХОДА У 2024.ГОДИНИ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_Toc135292175 \h </w:instrText>
            </w:r>
            <w:r w:rsidR="001538EF" w:rsidRPr="005767EF">
              <w:rPr>
                <w:noProof/>
                <w:webHidden/>
              </w:rPr>
            </w:r>
            <w:r w:rsidR="001538EF" w:rsidRPr="005767EF">
              <w:rPr>
                <w:noProof/>
                <w:webHidden/>
              </w:rPr>
              <w:fldChar w:fldCharType="separate"/>
            </w:r>
            <w:r w:rsidR="00E902E2">
              <w:rPr>
                <w:noProof/>
                <w:webHidden/>
              </w:rPr>
              <w:t>20</w:t>
            </w:r>
            <w:r w:rsidR="001538EF" w:rsidRPr="005767EF">
              <w:rPr>
                <w:noProof/>
                <w:webHidden/>
              </w:rPr>
              <w:fldChar w:fldCharType="end"/>
            </w:r>
          </w:hyperlink>
        </w:p>
        <w:p w:rsidR="001538EF" w:rsidRPr="005767EF" w:rsidRDefault="005D0BE8" w:rsidP="00BC5934">
          <w:pPr>
            <w:pStyle w:val="TOC2"/>
            <w:rPr>
              <w:rFonts w:eastAsiaTheme="minorEastAsia"/>
              <w:noProof/>
              <w:color w:val="auto"/>
              <w:lang w:val="sr-Latn-RS" w:eastAsia="sr-Latn-RS"/>
            </w:rPr>
          </w:pPr>
          <w:r>
            <w:rPr>
              <w:lang w:val="sr-Cyrl-RS"/>
            </w:rPr>
            <w:t xml:space="preserve">   </w:t>
          </w:r>
          <w:r w:rsidR="00E902E2">
            <w:rPr>
              <w:lang w:val="sr-Cyrl-RS"/>
            </w:rPr>
            <w:t xml:space="preserve">     </w:t>
          </w:r>
          <w:hyperlink w:anchor="_Toc135292176" w:history="1">
            <w:r>
              <w:rPr>
                <w:rStyle w:val="Hyperlink"/>
                <w:noProof/>
                <w:szCs w:val="20"/>
              </w:rPr>
              <w:t>3</w:t>
            </w:r>
            <w:r w:rsidR="001538EF" w:rsidRPr="005767EF">
              <w:rPr>
                <w:rStyle w:val="Hyperlink"/>
                <w:noProof/>
                <w:szCs w:val="20"/>
              </w:rPr>
              <w:t>.2</w:t>
            </w:r>
            <w:r w:rsidR="00E902E2" w:rsidRPr="00E902E2">
              <w:t xml:space="preserve"> </w:t>
            </w:r>
            <w:r w:rsidR="00E902E2" w:rsidRPr="00E902E2">
              <w:rPr>
                <w:rStyle w:val="Hyperlink"/>
                <w:noProof/>
                <w:szCs w:val="20"/>
              </w:rPr>
              <w:t>АНАЛИЗА ОСТВАРЕНИХ РАСХОДА У 2024. ГОДИНИ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_Toc135292176 \h </w:instrText>
            </w:r>
            <w:r w:rsidR="001538EF" w:rsidRPr="005767EF">
              <w:rPr>
                <w:noProof/>
                <w:webHidden/>
              </w:rPr>
            </w:r>
            <w:r w:rsidR="001538EF" w:rsidRPr="005767EF">
              <w:rPr>
                <w:noProof/>
                <w:webHidden/>
              </w:rPr>
              <w:fldChar w:fldCharType="separate"/>
            </w:r>
            <w:r w:rsidR="00E902E2">
              <w:rPr>
                <w:noProof/>
                <w:webHidden/>
              </w:rPr>
              <w:t>22</w:t>
            </w:r>
            <w:r w:rsidR="001538EF" w:rsidRPr="005767EF">
              <w:rPr>
                <w:noProof/>
                <w:webHidden/>
              </w:rPr>
              <w:fldChar w:fldCharType="end"/>
            </w:r>
          </w:hyperlink>
        </w:p>
        <w:p w:rsidR="001538EF" w:rsidRPr="005767EF" w:rsidRDefault="005D0BE8" w:rsidP="00BC5934">
          <w:pPr>
            <w:pStyle w:val="TOC2"/>
            <w:rPr>
              <w:rFonts w:eastAsiaTheme="minorEastAsia"/>
              <w:noProof/>
              <w:color w:val="auto"/>
              <w:lang w:val="sr-Latn-RS" w:eastAsia="sr-Latn-RS"/>
            </w:rPr>
          </w:pPr>
          <w:r>
            <w:rPr>
              <w:lang w:val="sr-Cyrl-RS"/>
            </w:rPr>
            <w:t xml:space="preserve">   </w:t>
          </w:r>
          <w:r w:rsidR="00E902E2">
            <w:rPr>
              <w:lang w:val="sr-Cyrl-RS"/>
            </w:rPr>
            <w:t xml:space="preserve">     </w:t>
          </w:r>
          <w:hyperlink w:anchor="_Toc135292177" w:history="1">
            <w:r>
              <w:rPr>
                <w:rStyle w:val="Hyperlink"/>
                <w:noProof/>
                <w:szCs w:val="20"/>
              </w:rPr>
              <w:t>3</w:t>
            </w:r>
            <w:r w:rsidR="001538EF" w:rsidRPr="005767EF">
              <w:rPr>
                <w:rStyle w:val="Hyperlink"/>
                <w:noProof/>
                <w:szCs w:val="20"/>
              </w:rPr>
              <w:t>.3</w:t>
            </w:r>
            <w:r w:rsidR="00E902E2" w:rsidRPr="00E902E2">
              <w:t xml:space="preserve"> </w:t>
            </w:r>
            <w:r w:rsidR="00E902E2" w:rsidRPr="00E902E2">
              <w:rPr>
                <w:rStyle w:val="Hyperlink"/>
                <w:noProof/>
                <w:szCs w:val="20"/>
              </w:rPr>
              <w:t>ОСТВАРЕНИ ФИНАНСИЈСКИ РЕЗУЛТАТ У 2024. ГОДИНИ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_Toc135292177 \h </w:instrText>
            </w:r>
            <w:r w:rsidR="001538EF" w:rsidRPr="005767EF">
              <w:rPr>
                <w:noProof/>
                <w:webHidden/>
              </w:rPr>
            </w:r>
            <w:r w:rsidR="001538EF" w:rsidRPr="005767EF">
              <w:rPr>
                <w:noProof/>
                <w:webHidden/>
              </w:rPr>
              <w:fldChar w:fldCharType="separate"/>
            </w:r>
            <w:r w:rsidR="00E902E2">
              <w:rPr>
                <w:noProof/>
                <w:webHidden/>
              </w:rPr>
              <w:t>27</w:t>
            </w:r>
            <w:r w:rsidR="001538EF" w:rsidRPr="005767EF">
              <w:rPr>
                <w:noProof/>
                <w:webHidden/>
              </w:rPr>
              <w:fldChar w:fldCharType="end"/>
            </w:r>
          </w:hyperlink>
        </w:p>
        <w:p w:rsidR="001538EF" w:rsidRPr="00C66305" w:rsidRDefault="005D0BE8" w:rsidP="00BC5934">
          <w:pPr>
            <w:pStyle w:val="TOC2"/>
            <w:rPr>
              <w:rFonts w:eastAsiaTheme="minorEastAsia"/>
              <w:noProof/>
              <w:color w:val="auto"/>
              <w:lang w:val="sr-Cyrl-RS" w:eastAsia="sr-Latn-RS"/>
            </w:rPr>
          </w:pPr>
          <w:r>
            <w:rPr>
              <w:lang w:val="sr-Cyrl-RS"/>
            </w:rPr>
            <w:t xml:space="preserve">   </w:t>
          </w:r>
          <w:r w:rsidR="00E902E2">
            <w:rPr>
              <w:lang w:val="sr-Cyrl-RS"/>
            </w:rPr>
            <w:t xml:space="preserve">     </w:t>
          </w:r>
          <w:hyperlink w:anchor="_Toc135292178" w:history="1">
            <w:r>
              <w:rPr>
                <w:rStyle w:val="Hyperlink"/>
                <w:noProof/>
                <w:szCs w:val="20"/>
              </w:rPr>
              <w:t>3</w:t>
            </w:r>
            <w:r w:rsidR="001538EF" w:rsidRPr="005767EF">
              <w:rPr>
                <w:rStyle w:val="Hyperlink"/>
                <w:noProof/>
                <w:szCs w:val="20"/>
                <w:lang w:val="sr-Cyrl-BA"/>
              </w:rPr>
              <w:t>.4</w:t>
            </w:r>
            <w:r w:rsidR="00E902E2" w:rsidRPr="00E902E2">
              <w:t xml:space="preserve"> </w:t>
            </w:r>
            <w:r w:rsidR="00E902E2" w:rsidRPr="00E902E2">
              <w:rPr>
                <w:rStyle w:val="Hyperlink"/>
                <w:noProof/>
                <w:szCs w:val="20"/>
                <w:lang w:val="sr-Cyrl-BA"/>
              </w:rPr>
              <w:t>АНАЛИЗА БИЛАНСА СТАЊА НА ДАН 31.12.2024. ГОДИНЕ</w:t>
            </w:r>
            <w:r w:rsidR="001538EF" w:rsidRPr="005767EF">
              <w:rPr>
                <w:noProof/>
                <w:webHidden/>
              </w:rPr>
              <w:tab/>
            </w:r>
            <w:r w:rsidR="00C66305">
              <w:rPr>
                <w:noProof/>
                <w:webHidden/>
                <w:lang w:val="sr-Cyrl-RS"/>
              </w:rPr>
              <w:t>30</w:t>
            </w:r>
          </w:hyperlink>
        </w:p>
        <w:p w:rsidR="001538EF" w:rsidRPr="00424A91" w:rsidRDefault="005D0BE8" w:rsidP="00BC5934">
          <w:pPr>
            <w:pStyle w:val="TOC2"/>
            <w:rPr>
              <w:rFonts w:eastAsiaTheme="minorEastAsia"/>
              <w:noProof/>
              <w:color w:val="auto"/>
              <w:lang w:val="sr-Cyrl-RS" w:eastAsia="sr-Latn-RS"/>
            </w:rPr>
          </w:pPr>
          <w:r>
            <w:rPr>
              <w:lang w:val="sr-Cyrl-RS"/>
            </w:rPr>
            <w:t xml:space="preserve">   </w:t>
          </w:r>
          <w:r w:rsidR="00E902E2">
            <w:rPr>
              <w:lang w:val="sr-Cyrl-RS"/>
            </w:rPr>
            <w:t xml:space="preserve">     </w:t>
          </w:r>
          <w:hyperlink w:anchor="_Toc135292179" w:history="1">
            <w:r>
              <w:rPr>
                <w:rStyle w:val="Hyperlink"/>
                <w:noProof/>
                <w:szCs w:val="20"/>
              </w:rPr>
              <w:t>3</w:t>
            </w:r>
            <w:r w:rsidR="001538EF" w:rsidRPr="005767EF">
              <w:rPr>
                <w:rStyle w:val="Hyperlink"/>
                <w:noProof/>
                <w:szCs w:val="20"/>
              </w:rPr>
              <w:t>.5</w:t>
            </w:r>
            <w:r w:rsidR="00E902E2" w:rsidRPr="00E902E2">
              <w:t xml:space="preserve"> </w:t>
            </w:r>
            <w:r w:rsidR="00E902E2" w:rsidRPr="00E902E2">
              <w:rPr>
                <w:rStyle w:val="Hyperlink"/>
                <w:noProof/>
                <w:szCs w:val="20"/>
              </w:rPr>
              <w:t>АНАЛИЗА  СЛОБОДНИХ НОВЧАНИХ СРЕДСТАВА НА ДАН 31.12.2024. ГОДИНЕ</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_Toc135292179 \h </w:instrText>
            </w:r>
            <w:r w:rsidR="001538EF" w:rsidRPr="005767EF">
              <w:rPr>
                <w:noProof/>
                <w:webHidden/>
              </w:rPr>
            </w:r>
            <w:r w:rsidR="001538EF" w:rsidRPr="005767EF">
              <w:rPr>
                <w:noProof/>
                <w:webHidden/>
              </w:rPr>
              <w:fldChar w:fldCharType="separate"/>
            </w:r>
            <w:r w:rsidR="00E902E2">
              <w:rPr>
                <w:noProof/>
                <w:webHidden/>
              </w:rPr>
              <w:t>31</w:t>
            </w:r>
            <w:r w:rsidR="001538EF" w:rsidRPr="005767EF">
              <w:rPr>
                <w:noProof/>
                <w:webHidden/>
              </w:rPr>
              <w:fldChar w:fldCharType="end"/>
            </w:r>
          </w:hyperlink>
        </w:p>
        <w:p w:rsidR="001538EF" w:rsidRPr="00170349" w:rsidRDefault="002E4B9F" w:rsidP="005D0BE8">
          <w:pPr>
            <w:pStyle w:val="TOC1"/>
            <w:tabs>
              <w:tab w:val="left" w:pos="426"/>
              <w:tab w:val="left" w:pos="709"/>
            </w:tabs>
            <w:rPr>
              <w:rFonts w:eastAsiaTheme="minorEastAsia"/>
              <w:noProof/>
              <w:color w:val="auto"/>
              <w:lang w:val="sr-Cyrl-RS" w:eastAsia="sr-Latn-RS"/>
            </w:rPr>
          </w:pPr>
          <w:hyperlink w:anchor="_Toc135292180" w:history="1">
            <w:r w:rsidR="005D0BE8">
              <w:rPr>
                <w:rStyle w:val="Hyperlink"/>
                <w:noProof/>
                <w:szCs w:val="20"/>
              </w:rPr>
              <w:t>4</w:t>
            </w:r>
            <w:r w:rsidR="001538EF" w:rsidRPr="005767EF">
              <w:rPr>
                <w:rFonts w:eastAsiaTheme="minorEastAsia"/>
                <w:noProof/>
                <w:color w:val="auto"/>
                <w:lang w:val="sr-Latn-RS" w:eastAsia="sr-Latn-RS"/>
              </w:rPr>
              <w:tab/>
            </w:r>
            <w:r w:rsidR="001538EF" w:rsidRPr="005767EF">
              <w:rPr>
                <w:rStyle w:val="Hyperlink"/>
                <w:noProof/>
                <w:szCs w:val="20"/>
              </w:rPr>
              <w:t>АНАЛИЗА</w:t>
            </w:r>
            <w:r w:rsidR="005D0BE8">
              <w:rPr>
                <w:rStyle w:val="Hyperlink"/>
                <w:noProof/>
                <w:szCs w:val="20"/>
              </w:rPr>
              <w:t xml:space="preserve"> ОСТВАРЕЊА ПЛАНА ИНВЕСТИЦИЈА </w:t>
            </w:r>
            <w:r w:rsidR="005D0BE8">
              <w:rPr>
                <w:rStyle w:val="Hyperlink"/>
                <w:noProof/>
                <w:szCs w:val="20"/>
                <w:lang w:val="sr-Cyrl-RS"/>
              </w:rPr>
              <w:t xml:space="preserve"> У </w:t>
            </w:r>
            <w:r w:rsidR="001538EF" w:rsidRPr="005767EF">
              <w:rPr>
                <w:rStyle w:val="Hyperlink"/>
                <w:noProof/>
                <w:szCs w:val="20"/>
              </w:rPr>
              <w:t>202</w:t>
            </w:r>
            <w:r w:rsidR="00BB1603">
              <w:rPr>
                <w:rStyle w:val="Hyperlink"/>
                <w:noProof/>
                <w:szCs w:val="20"/>
                <w:lang w:val="sr-Cyrl-RS"/>
              </w:rPr>
              <w:t>4</w:t>
            </w:r>
            <w:r w:rsidR="005D0BE8">
              <w:rPr>
                <w:rStyle w:val="Hyperlink"/>
                <w:noProof/>
                <w:szCs w:val="20"/>
              </w:rPr>
              <w:t>. ГОДИН</w:t>
            </w:r>
            <w:r w:rsidR="005D0BE8">
              <w:rPr>
                <w:rStyle w:val="Hyperlink"/>
                <w:noProof/>
                <w:szCs w:val="20"/>
                <w:lang w:val="sr-Cyrl-RS"/>
              </w:rPr>
              <w:t>И</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_Toc135292180 \h </w:instrText>
            </w:r>
            <w:r w:rsidR="001538EF" w:rsidRPr="005767EF">
              <w:rPr>
                <w:noProof/>
                <w:webHidden/>
              </w:rPr>
            </w:r>
            <w:r w:rsidR="001538EF" w:rsidRPr="005767EF">
              <w:rPr>
                <w:noProof/>
                <w:webHidden/>
              </w:rPr>
              <w:fldChar w:fldCharType="separate"/>
            </w:r>
            <w:r w:rsidR="00E902E2">
              <w:rPr>
                <w:noProof/>
                <w:webHidden/>
              </w:rPr>
              <w:t>34</w:t>
            </w:r>
            <w:r w:rsidR="001538EF" w:rsidRPr="005767EF">
              <w:rPr>
                <w:noProof/>
                <w:webHidden/>
              </w:rPr>
              <w:fldChar w:fldCharType="end"/>
            </w:r>
          </w:hyperlink>
        </w:p>
        <w:p w:rsidR="001538EF" w:rsidRPr="005767EF" w:rsidRDefault="005D0BE8" w:rsidP="005D0BE8">
          <w:pPr>
            <w:pStyle w:val="TOC1"/>
            <w:tabs>
              <w:tab w:val="left" w:pos="426"/>
              <w:tab w:val="left" w:pos="709"/>
            </w:tabs>
            <w:rPr>
              <w:rFonts w:eastAsiaTheme="minorEastAsia"/>
              <w:noProof/>
              <w:color w:val="auto"/>
              <w:lang w:val="sr-Latn-RS" w:eastAsia="sr-Latn-RS"/>
            </w:rPr>
          </w:pPr>
          <w:r>
            <w:t xml:space="preserve">      </w:t>
          </w:r>
          <w:hyperlink w:anchor="_Toc135292181" w:history="1">
            <w:r w:rsidR="001538EF" w:rsidRPr="005767EF">
              <w:rPr>
                <w:rStyle w:val="Hyperlink"/>
                <w:noProof/>
                <w:szCs w:val="20"/>
                <w:lang w:val="sr-Cyrl-BA"/>
              </w:rPr>
              <w:t>ЗАКЉУЧАК</w:t>
            </w:r>
            <w:r w:rsidR="001538EF" w:rsidRPr="005767EF">
              <w:rPr>
                <w:noProof/>
                <w:webHidden/>
              </w:rPr>
              <w:tab/>
            </w:r>
            <w:r w:rsidR="001538EF" w:rsidRPr="005767EF">
              <w:rPr>
                <w:noProof/>
                <w:webHidden/>
              </w:rPr>
              <w:fldChar w:fldCharType="begin"/>
            </w:r>
            <w:r w:rsidR="001538EF" w:rsidRPr="005767EF">
              <w:rPr>
                <w:noProof/>
                <w:webHidden/>
              </w:rPr>
              <w:instrText xml:space="preserve"> PAGEREF _Toc135292181 \h </w:instrText>
            </w:r>
            <w:r w:rsidR="001538EF" w:rsidRPr="005767EF">
              <w:rPr>
                <w:noProof/>
                <w:webHidden/>
              </w:rPr>
            </w:r>
            <w:r w:rsidR="001538EF" w:rsidRPr="005767EF">
              <w:rPr>
                <w:noProof/>
                <w:webHidden/>
              </w:rPr>
              <w:fldChar w:fldCharType="separate"/>
            </w:r>
            <w:r w:rsidR="00E902E2">
              <w:rPr>
                <w:noProof/>
                <w:webHidden/>
              </w:rPr>
              <w:t>36</w:t>
            </w:r>
            <w:r w:rsidR="001538EF" w:rsidRPr="005767EF">
              <w:rPr>
                <w:noProof/>
                <w:webHidden/>
              </w:rPr>
              <w:fldChar w:fldCharType="end"/>
            </w:r>
          </w:hyperlink>
        </w:p>
        <w:p w:rsidR="001538EF" w:rsidRPr="005767EF" w:rsidRDefault="001538EF" w:rsidP="005D0BE8">
          <w:pPr>
            <w:tabs>
              <w:tab w:val="left" w:pos="426"/>
              <w:tab w:val="left" w:pos="709"/>
            </w:tabs>
            <w:rPr>
              <w:rFonts w:asciiTheme="minorHAnsi" w:hAnsiTheme="minorHAnsi"/>
              <w:sz w:val="20"/>
              <w:szCs w:val="20"/>
            </w:rPr>
          </w:pPr>
          <w:r w:rsidRPr="005767EF">
            <w:rPr>
              <w:rFonts w:asciiTheme="minorHAnsi" w:hAnsiTheme="minorHAnsi"/>
              <w:b/>
              <w:sz w:val="20"/>
              <w:szCs w:val="20"/>
            </w:rPr>
            <w:fldChar w:fldCharType="end"/>
          </w:r>
        </w:p>
      </w:sdtContent>
    </w:sdt>
    <w:p w:rsidR="001538EF" w:rsidRPr="005767EF" w:rsidRDefault="001538EF" w:rsidP="001538EF">
      <w:pPr>
        <w:spacing w:after="200" w:line="276" w:lineRule="auto"/>
        <w:jc w:val="left"/>
        <w:rPr>
          <w:rFonts w:asciiTheme="minorHAnsi" w:hAnsiTheme="minorHAnsi"/>
          <w:sz w:val="20"/>
          <w:szCs w:val="20"/>
        </w:rPr>
      </w:pPr>
      <w:r w:rsidRPr="005767EF">
        <w:rPr>
          <w:rFonts w:asciiTheme="minorHAnsi" w:hAnsiTheme="minorHAnsi"/>
          <w:sz w:val="20"/>
          <w:szCs w:val="20"/>
        </w:rPr>
        <w:br w:type="page"/>
      </w:r>
    </w:p>
    <w:p w:rsidR="001538EF" w:rsidRPr="005767EF" w:rsidRDefault="001538EF" w:rsidP="001538EF">
      <w:pPr>
        <w:rPr>
          <w:rFonts w:asciiTheme="minorHAnsi" w:hAnsiTheme="minorHAnsi"/>
          <w:sz w:val="20"/>
          <w:szCs w:val="20"/>
        </w:rPr>
      </w:pPr>
    </w:p>
    <w:p w:rsidR="001538EF" w:rsidRPr="005767EF" w:rsidRDefault="001538EF" w:rsidP="005030FC">
      <w:pPr>
        <w:pStyle w:val="Heading1"/>
        <w:numPr>
          <w:ilvl w:val="0"/>
          <w:numId w:val="0"/>
        </w:numPr>
        <w:ind w:left="431"/>
        <w:jc w:val="center"/>
        <w:rPr>
          <w:rFonts w:asciiTheme="minorHAnsi" w:hAnsiTheme="minorHAnsi"/>
          <w:noProof/>
        </w:rPr>
      </w:pPr>
      <w:bookmarkStart w:id="1" w:name="_Toc514323445"/>
      <w:bookmarkStart w:id="2" w:name="_Toc135292166"/>
      <w:r w:rsidRPr="005767EF">
        <w:rPr>
          <w:rFonts w:asciiTheme="minorHAnsi" w:hAnsiTheme="minorHAnsi"/>
          <w:noProof/>
        </w:rPr>
        <w:t>УВОД</w:t>
      </w:r>
      <w:bookmarkEnd w:id="1"/>
      <w:bookmarkEnd w:id="2"/>
    </w:p>
    <w:p w:rsidR="001538EF" w:rsidRPr="005767EF" w:rsidRDefault="001538EF" w:rsidP="00FE0E1B">
      <w:pPr>
        <w:rPr>
          <w:rStyle w:val="tekst1"/>
          <w:rFonts w:asciiTheme="minorHAnsi" w:hAnsiTheme="minorHAnsi" w:cs="Times New Roman"/>
          <w:noProof/>
          <w:sz w:val="20"/>
          <w:szCs w:val="20"/>
          <w:lang w:val="sr-Cyrl-RS"/>
        </w:rPr>
      </w:pPr>
      <w:r w:rsidRPr="005767EF">
        <w:rPr>
          <w:rFonts w:asciiTheme="minorHAnsi" w:hAnsiTheme="minorHAnsi"/>
          <w:noProof/>
          <w:sz w:val="20"/>
          <w:szCs w:val="20"/>
          <w:lang w:val="sr-Cyrl-RS"/>
        </w:rPr>
        <w:t xml:space="preserve">Гарантни фонд Републике Српске а.д. Бања Лука </w:t>
      </w:r>
      <w:r w:rsidRPr="005767EF">
        <w:rPr>
          <w:rFonts w:asciiTheme="minorHAnsi" w:hAnsiTheme="minorHAnsi"/>
          <w:noProof/>
          <w:sz w:val="20"/>
          <w:szCs w:val="20"/>
        </w:rPr>
        <w:t>j</w:t>
      </w:r>
      <w:r w:rsidRPr="005767EF">
        <w:rPr>
          <w:rFonts w:asciiTheme="minorHAnsi" w:hAnsiTheme="minorHAnsi"/>
          <w:noProof/>
          <w:sz w:val="20"/>
          <w:szCs w:val="20"/>
          <w:lang w:val="sr-Cyrl-RS"/>
        </w:rPr>
        <w:t>е</w:t>
      </w:r>
      <w:r w:rsidRPr="005767EF">
        <w:rPr>
          <w:rStyle w:val="tekst1"/>
          <w:rFonts w:asciiTheme="minorHAnsi" w:hAnsiTheme="minorHAnsi" w:cs="Times New Roman"/>
          <w:noProof/>
          <w:sz w:val="20"/>
          <w:szCs w:val="20"/>
          <w:lang w:val="sr-Cyrl-RS"/>
        </w:rPr>
        <w:t xml:space="preserve"> основан ради остваривања општег интереса који је изражен у пружању подршке развоју предузетништва кроз олакшавање приступа финансијским средствима потребним за обављање пословних дјелатности предузетника (правних и физичких лица) са сједиштем, односно пребивалиштем у Републици Српској.</w:t>
      </w:r>
    </w:p>
    <w:p w:rsidR="00FE0E1B" w:rsidRDefault="00FE0E1B" w:rsidP="00FE0E1B">
      <w:pPr>
        <w:rPr>
          <w:rFonts w:asciiTheme="minorHAnsi" w:hAnsiTheme="minorHAnsi"/>
          <w:noProof/>
          <w:sz w:val="20"/>
          <w:szCs w:val="20"/>
          <w:lang w:val="sr-Cyrl-RS"/>
        </w:rPr>
      </w:pPr>
    </w:p>
    <w:p w:rsidR="001538EF" w:rsidRPr="005767EF" w:rsidRDefault="001538EF" w:rsidP="00FE0E1B">
      <w:pPr>
        <w:rPr>
          <w:rFonts w:asciiTheme="minorHAnsi" w:hAnsiTheme="minorHAnsi"/>
          <w:noProof/>
          <w:color w:val="FF0000"/>
          <w:sz w:val="20"/>
          <w:szCs w:val="20"/>
          <w:lang w:val="sr-Cyrl-RS"/>
        </w:rPr>
      </w:pPr>
      <w:r w:rsidRPr="005767EF">
        <w:rPr>
          <w:rFonts w:asciiTheme="minorHAnsi" w:hAnsiTheme="minorHAnsi"/>
          <w:noProof/>
          <w:sz w:val="20"/>
          <w:szCs w:val="20"/>
          <w:lang w:val="sr-Cyrl-RS"/>
        </w:rPr>
        <w:t xml:space="preserve">Фонд је основан Одлуком Владе Републике Српске </w:t>
      </w:r>
      <w:r w:rsidR="00EA08D5">
        <w:rPr>
          <w:rFonts w:asciiTheme="minorHAnsi" w:hAnsiTheme="minorHAnsi"/>
          <w:noProof/>
          <w:sz w:val="20"/>
          <w:szCs w:val="20"/>
          <w:lang w:val="sr-Cyrl-RS"/>
        </w:rPr>
        <w:t>у</w:t>
      </w:r>
      <w:r w:rsidRPr="005767EF">
        <w:rPr>
          <w:rFonts w:asciiTheme="minorHAnsi" w:hAnsiTheme="minorHAnsi"/>
          <w:noProof/>
          <w:sz w:val="20"/>
          <w:szCs w:val="20"/>
          <w:lang w:val="sr-Cyrl-RS"/>
        </w:rPr>
        <w:t xml:space="preserve"> </w:t>
      </w:r>
      <w:r w:rsidR="00EA08D5">
        <w:rPr>
          <w:rFonts w:asciiTheme="minorHAnsi" w:hAnsiTheme="minorHAnsi"/>
          <w:noProof/>
          <w:sz w:val="20"/>
          <w:szCs w:val="20"/>
          <w:lang w:val="sr-Cyrl-RS"/>
        </w:rPr>
        <w:t>јулу</w:t>
      </w:r>
      <w:r w:rsidRPr="005767EF">
        <w:rPr>
          <w:rFonts w:asciiTheme="minorHAnsi" w:hAnsiTheme="minorHAnsi"/>
          <w:noProof/>
          <w:sz w:val="20"/>
          <w:szCs w:val="20"/>
          <w:lang w:val="sr-Cyrl-RS"/>
        </w:rPr>
        <w:t xml:space="preserve"> 2010. године.  Правни статус Фонда, његова дјелатност, начин коришћења средстава и начин управљања Фондом, регулисан је Законом о Гарантном фонду Републике Српске („Службени гласник Републике Српске“, број 50/10) и </w:t>
      </w:r>
      <w:r w:rsidRPr="005767EF">
        <w:rPr>
          <w:rFonts w:asciiTheme="minorHAnsi" w:eastAsiaTheme="minorHAnsi" w:hAnsiTheme="minorHAnsi"/>
          <w:color w:val="auto"/>
          <w:sz w:val="20"/>
          <w:szCs w:val="20"/>
          <w:lang w:val="sr-Cyrl-RS" w:eastAsia="en-US"/>
        </w:rPr>
        <w:t>Законом о измјенама и допунама Закона о Гарантном фонду Републике Српске („Службени гласник РС“ број 107/2019)</w:t>
      </w:r>
      <w:r w:rsidRPr="005767EF">
        <w:rPr>
          <w:rFonts w:asciiTheme="minorHAnsi" w:hAnsiTheme="minorHAnsi"/>
          <w:noProof/>
          <w:sz w:val="20"/>
          <w:szCs w:val="20"/>
          <w:lang w:val="sr-Cyrl-RS"/>
        </w:rPr>
        <w:t xml:space="preserve">. </w:t>
      </w:r>
      <w:r w:rsidRPr="005767EF">
        <w:rPr>
          <w:rFonts w:asciiTheme="minorHAnsi" w:hAnsiTheme="minorHAnsi"/>
          <w:noProof/>
          <w:color w:val="000000" w:themeColor="text1"/>
          <w:sz w:val="20"/>
          <w:szCs w:val="20"/>
          <w:lang w:val="sr-Cyrl-RS"/>
        </w:rPr>
        <w:t>Обзиром да је оснивач Фонда Република Српска и да је оснивач 100% власник акција Фонда (Фонд је затворено акционарско друштво), на рад и пословање Фонда примјењују се и одредбе Закона о јавним предузећима („Службени гласник Републике Српске“, број 75/04 и 78/11).</w:t>
      </w:r>
    </w:p>
    <w:p w:rsidR="00FE0E1B" w:rsidRDefault="00FE0E1B" w:rsidP="00FE0E1B">
      <w:pPr>
        <w:rPr>
          <w:rFonts w:asciiTheme="minorHAnsi" w:hAnsiTheme="minorHAnsi"/>
          <w:noProof/>
          <w:sz w:val="20"/>
          <w:szCs w:val="20"/>
          <w:lang w:val="sr-Cyrl-RS"/>
        </w:rPr>
      </w:pPr>
    </w:p>
    <w:p w:rsidR="001538EF" w:rsidRPr="005767EF" w:rsidRDefault="001538EF" w:rsidP="00FE0E1B">
      <w:pPr>
        <w:rPr>
          <w:rFonts w:asciiTheme="minorHAnsi" w:hAnsiTheme="minorHAnsi"/>
          <w:noProof/>
          <w:sz w:val="20"/>
          <w:szCs w:val="20"/>
          <w:lang w:val="sr-Cyrl-RS"/>
        </w:rPr>
      </w:pPr>
      <w:r w:rsidRPr="005767EF">
        <w:rPr>
          <w:rFonts w:asciiTheme="minorHAnsi" w:hAnsiTheme="minorHAnsi"/>
          <w:noProof/>
          <w:sz w:val="20"/>
          <w:szCs w:val="20"/>
          <w:lang w:val="sr-Cyrl-RS"/>
        </w:rPr>
        <w:t xml:space="preserve">Основна дјелатност Фонда је издавање свих врста гаранција, супергаранција и контрагаранција за обезбјеђење дијела обавеза по кредиту или другој финансијској обавези, уговореним између предузетника са сједиштем, односно пребивалиштем у Републици Српској, као налогодавца гаранције и дужника по обезбјеђеној обавези, и банке или друге финансијске организације, као корисника гаранције и повјериоца по обезбјеђеној обавези. </w:t>
      </w:r>
    </w:p>
    <w:p w:rsidR="00FE0E1B" w:rsidRDefault="00FE0E1B" w:rsidP="00FE0E1B">
      <w:pPr>
        <w:rPr>
          <w:rFonts w:asciiTheme="minorHAnsi" w:hAnsiTheme="minorHAnsi"/>
          <w:noProof/>
          <w:sz w:val="20"/>
          <w:szCs w:val="20"/>
          <w:lang w:val="sr-Cyrl-RS"/>
        </w:rPr>
      </w:pPr>
    </w:p>
    <w:p w:rsidR="001538EF" w:rsidRPr="005767EF" w:rsidRDefault="001538EF" w:rsidP="00FE0E1B">
      <w:pPr>
        <w:rPr>
          <w:rFonts w:asciiTheme="minorHAnsi" w:hAnsiTheme="minorHAnsi"/>
          <w:noProof/>
          <w:sz w:val="20"/>
          <w:szCs w:val="20"/>
          <w:lang w:val="sr-Cyrl-RS"/>
        </w:rPr>
      </w:pPr>
      <w:r w:rsidRPr="005767EF">
        <w:rPr>
          <w:rFonts w:asciiTheme="minorHAnsi" w:hAnsiTheme="minorHAnsi"/>
          <w:noProof/>
          <w:sz w:val="20"/>
          <w:szCs w:val="20"/>
          <w:lang w:val="sr-Cyrl-RS"/>
        </w:rPr>
        <w:t>Фонд може изда</w:t>
      </w:r>
      <w:r w:rsidR="00266AB6">
        <w:rPr>
          <w:rFonts w:asciiTheme="minorHAnsi" w:hAnsiTheme="minorHAnsi"/>
          <w:noProof/>
          <w:sz w:val="20"/>
          <w:szCs w:val="20"/>
          <w:lang w:val="sr-Cyrl-RS"/>
        </w:rPr>
        <w:t xml:space="preserve">ти гаранције </w:t>
      </w:r>
      <w:r w:rsidRPr="005767EF">
        <w:rPr>
          <w:rFonts w:asciiTheme="minorHAnsi" w:hAnsiTheme="minorHAnsi"/>
          <w:noProof/>
          <w:sz w:val="20"/>
          <w:szCs w:val="20"/>
          <w:lang w:val="sr-Cyrl-RS"/>
        </w:rPr>
        <w:t>до 50%</w:t>
      </w:r>
      <w:r w:rsidR="00266AB6">
        <w:rPr>
          <w:rFonts w:asciiTheme="minorHAnsi" w:hAnsiTheme="minorHAnsi"/>
          <w:noProof/>
          <w:sz w:val="20"/>
          <w:szCs w:val="20"/>
          <w:lang w:val="sr-Cyrl-RS"/>
        </w:rPr>
        <w:t xml:space="preserve"> (у изузетним случајевима до 70%)</w:t>
      </w:r>
      <w:r w:rsidRPr="005767EF">
        <w:rPr>
          <w:rFonts w:asciiTheme="minorHAnsi" w:hAnsiTheme="minorHAnsi"/>
          <w:noProof/>
          <w:sz w:val="20"/>
          <w:szCs w:val="20"/>
          <w:lang w:val="sr-Cyrl-RS"/>
        </w:rPr>
        <w:t xml:space="preserve"> износа одобреног кредита или друге финансијске обавезе које је предузетнику одобри</w:t>
      </w:r>
      <w:r w:rsidRPr="005767EF">
        <w:rPr>
          <w:rFonts w:asciiTheme="minorHAnsi" w:hAnsiTheme="minorHAnsi"/>
          <w:noProof/>
          <w:sz w:val="20"/>
          <w:szCs w:val="20"/>
          <w:lang w:val="sr-Cyrl-BA"/>
        </w:rPr>
        <w:t>л</w:t>
      </w:r>
      <w:r w:rsidRPr="005767EF">
        <w:rPr>
          <w:rFonts w:asciiTheme="minorHAnsi" w:hAnsiTheme="minorHAnsi"/>
          <w:noProof/>
          <w:sz w:val="20"/>
          <w:szCs w:val="20"/>
          <w:lang w:val="sr-Cyrl-RS"/>
        </w:rPr>
        <w:t>а банка или друга финансијска организација</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 xml:space="preserve">или </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максимално до 1.500.000,00 КМ</w:t>
      </w:r>
      <w:r w:rsidRPr="005767EF">
        <w:rPr>
          <w:rFonts w:asciiTheme="minorHAnsi" w:hAnsiTheme="minorHAnsi"/>
          <w:noProof/>
          <w:sz w:val="20"/>
          <w:szCs w:val="20"/>
          <w:lang w:val="sr-Cyrl-RS"/>
        </w:rPr>
        <w:t>. Гарантни потенцијал Фонда чини троструки износ оснивачког капитала Фонда</w:t>
      </w:r>
      <w:r w:rsidR="00266AB6">
        <w:rPr>
          <w:rFonts w:asciiTheme="minorHAnsi" w:hAnsiTheme="minorHAnsi"/>
          <w:noProof/>
          <w:sz w:val="20"/>
          <w:szCs w:val="20"/>
          <w:lang w:val="sr-Cyrl-RS"/>
        </w:rPr>
        <w:t>, односно 90.000.000,00 КМ</w:t>
      </w:r>
      <w:r w:rsidRPr="005767EF">
        <w:rPr>
          <w:rFonts w:asciiTheme="minorHAnsi" w:hAnsiTheme="minorHAnsi"/>
          <w:noProof/>
          <w:sz w:val="20"/>
          <w:szCs w:val="20"/>
          <w:lang w:val="sr-Cyrl-RS"/>
        </w:rPr>
        <w:t>.</w:t>
      </w:r>
    </w:p>
    <w:p w:rsidR="001538EF" w:rsidRPr="005767EF" w:rsidRDefault="001538EF" w:rsidP="001538EF">
      <w:pPr>
        <w:pStyle w:val="ListParagraph"/>
        <w:rPr>
          <w:rFonts w:asciiTheme="minorHAnsi" w:eastAsiaTheme="minorHAnsi" w:hAnsiTheme="minorHAnsi"/>
          <w:color w:val="auto"/>
          <w:sz w:val="20"/>
          <w:szCs w:val="20"/>
          <w:lang w:val="sr-Cyrl-RS" w:eastAsia="en-US"/>
        </w:rPr>
      </w:pPr>
    </w:p>
    <w:p w:rsidR="001538EF" w:rsidRPr="005767EF" w:rsidRDefault="00EE6483" w:rsidP="00EE6483">
      <w:pPr>
        <w:pStyle w:val="Heading1"/>
        <w:numPr>
          <w:ilvl w:val="0"/>
          <w:numId w:val="0"/>
        </w:numPr>
        <w:rPr>
          <w:rFonts w:asciiTheme="minorHAnsi" w:eastAsiaTheme="minorHAnsi" w:hAnsiTheme="minorHAnsi"/>
        </w:rPr>
      </w:pPr>
      <w:bookmarkStart w:id="3" w:name="_Toc135292167"/>
      <w:r>
        <w:rPr>
          <w:rFonts w:asciiTheme="minorHAnsi" w:eastAsiaTheme="minorHAnsi" w:hAnsiTheme="minorHAnsi"/>
          <w:lang w:val="sr-Cyrl-RS"/>
        </w:rPr>
        <w:t xml:space="preserve">1.     </w:t>
      </w:r>
      <w:r w:rsidR="001538EF" w:rsidRPr="005767EF">
        <w:rPr>
          <w:rFonts w:asciiTheme="minorHAnsi" w:eastAsiaTheme="minorHAnsi" w:hAnsiTheme="minorHAnsi"/>
        </w:rPr>
        <w:t xml:space="preserve">ОРГАНИЗАЦИЈА И НАЧИН РАДА ГАРАНТНОГ ФОНДА </w:t>
      </w:r>
      <w:r w:rsidR="001538EF" w:rsidRPr="005767EF">
        <w:rPr>
          <w:rFonts w:asciiTheme="minorHAnsi" w:eastAsiaTheme="minorHAnsi" w:hAnsiTheme="minorHAnsi"/>
          <w:lang w:val="sr-Cyrl-BA"/>
        </w:rPr>
        <w:t>РЕПУБЛИКЕ СРПСКЕ</w:t>
      </w:r>
      <w:bookmarkEnd w:id="3"/>
    </w:p>
    <w:p w:rsidR="001538EF" w:rsidRPr="00FE0E1B" w:rsidRDefault="001538EF" w:rsidP="00FE0E1B">
      <w:pPr>
        <w:autoSpaceDE w:val="0"/>
        <w:autoSpaceDN w:val="0"/>
        <w:adjustRightInd w:val="0"/>
        <w:ind w:firstLine="431"/>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t>У складу са Законом о Гарантном фонду Републике Српске и Законом о јавним</w:t>
      </w:r>
      <w:r w:rsidRPr="005767EF">
        <w:rPr>
          <w:rFonts w:asciiTheme="minorHAnsi" w:eastAsiaTheme="minorHAnsi" w:hAnsiTheme="minorHAnsi"/>
          <w:color w:val="auto"/>
          <w:sz w:val="20"/>
          <w:szCs w:val="20"/>
          <w:lang w:val="sr-Cyrl-RS" w:eastAsia="en-US"/>
        </w:rPr>
        <w:t xml:space="preserve"> </w:t>
      </w:r>
      <w:r w:rsidR="00EE6483">
        <w:rPr>
          <w:rFonts w:asciiTheme="minorHAnsi" w:eastAsiaTheme="minorHAnsi" w:hAnsiTheme="minorHAnsi"/>
          <w:color w:val="auto"/>
          <w:sz w:val="20"/>
          <w:szCs w:val="20"/>
          <w:lang w:eastAsia="en-US"/>
        </w:rPr>
        <w:t xml:space="preserve">предузећима, </w:t>
      </w:r>
      <w:r w:rsidR="00EE6483">
        <w:rPr>
          <w:rFonts w:asciiTheme="minorHAnsi" w:eastAsiaTheme="minorHAnsi" w:hAnsiTheme="minorHAnsi"/>
          <w:color w:val="auto"/>
          <w:sz w:val="20"/>
          <w:szCs w:val="20"/>
          <w:lang w:val="sr-Cyrl-RS" w:eastAsia="en-US"/>
        </w:rPr>
        <w:t>о</w:t>
      </w:r>
      <w:r w:rsidR="00FE0E1B">
        <w:rPr>
          <w:rFonts w:asciiTheme="minorHAnsi" w:eastAsiaTheme="minorHAnsi" w:hAnsiTheme="minorHAnsi"/>
          <w:color w:val="auto"/>
          <w:sz w:val="20"/>
          <w:szCs w:val="20"/>
          <w:lang w:eastAsia="en-US"/>
        </w:rPr>
        <w:t>ргане Фонда чине:</w:t>
      </w:r>
    </w:p>
    <w:p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 xml:space="preserve">Скупштина акционара </w:t>
      </w:r>
    </w:p>
    <w:p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Надзорни одбор</w:t>
      </w:r>
    </w:p>
    <w:p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Директор Фонда</w:t>
      </w:r>
    </w:p>
    <w:p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Одбор за ревизију</w:t>
      </w:r>
    </w:p>
    <w:p w:rsidR="001538EF" w:rsidRPr="005767EF" w:rsidRDefault="001538EF" w:rsidP="001538EF">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val="sr-Cyrl-BA" w:eastAsia="en-US"/>
        </w:rPr>
        <w:t>Гарантни одбор</w:t>
      </w:r>
      <w:r w:rsidRPr="005767EF">
        <w:rPr>
          <w:rFonts w:asciiTheme="minorHAnsi" w:eastAsiaTheme="minorHAnsi" w:hAnsiTheme="minorHAnsi"/>
          <w:color w:val="auto"/>
          <w:sz w:val="20"/>
          <w:szCs w:val="20"/>
          <w:lang w:eastAsia="en-US"/>
        </w:rPr>
        <w:t xml:space="preserve"> </w:t>
      </w:r>
    </w:p>
    <w:p w:rsidR="00FE0E1B" w:rsidRDefault="00FE0E1B" w:rsidP="00FE0E1B">
      <w:pPr>
        <w:autoSpaceDE w:val="0"/>
        <w:autoSpaceDN w:val="0"/>
        <w:adjustRightInd w:val="0"/>
        <w:rPr>
          <w:rFonts w:asciiTheme="minorHAnsi" w:eastAsiaTheme="minorHAnsi" w:hAnsiTheme="minorHAnsi"/>
          <w:color w:val="auto"/>
          <w:sz w:val="20"/>
          <w:szCs w:val="20"/>
          <w:lang w:val="sr-Cyrl-BA" w:eastAsia="en-US"/>
        </w:rPr>
      </w:pPr>
    </w:p>
    <w:p w:rsidR="001538EF" w:rsidRPr="00775661" w:rsidRDefault="001538EF" w:rsidP="00FE0E1B">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val="sr-Cyrl-BA" w:eastAsia="en-US"/>
        </w:rPr>
        <w:t xml:space="preserve">Права, обавезе и одговорност органа Фонда регулисана су </w:t>
      </w:r>
      <w:r w:rsidR="00266AB6" w:rsidRPr="00775661">
        <w:rPr>
          <w:rFonts w:asciiTheme="minorHAnsi" w:eastAsiaTheme="minorHAnsi" w:hAnsiTheme="minorHAnsi"/>
          <w:color w:val="auto"/>
          <w:sz w:val="20"/>
          <w:szCs w:val="20"/>
          <w:lang w:val="sr-Cyrl-BA" w:eastAsia="en-US"/>
        </w:rPr>
        <w:t>законским и подзаконским актима</w:t>
      </w:r>
      <w:r w:rsidR="00775661" w:rsidRPr="00775661">
        <w:rPr>
          <w:rFonts w:asciiTheme="minorHAnsi" w:eastAsiaTheme="minorHAnsi" w:hAnsiTheme="minorHAnsi"/>
          <w:color w:val="auto"/>
          <w:sz w:val="20"/>
          <w:szCs w:val="20"/>
          <w:lang w:val="sr-Cyrl-BA" w:eastAsia="en-US"/>
        </w:rPr>
        <w:t>,</w:t>
      </w:r>
      <w:r w:rsid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val="sr-Cyrl-BA" w:eastAsia="en-US"/>
        </w:rPr>
        <w:t>Статутом Фонда и интерним правилницима и пословницима о раду органа Фонда.</w:t>
      </w:r>
    </w:p>
    <w:p w:rsidR="00EE6483" w:rsidRDefault="00EE6483" w:rsidP="00FE0E1B">
      <w:pPr>
        <w:autoSpaceDE w:val="0"/>
        <w:autoSpaceDN w:val="0"/>
        <w:adjustRightInd w:val="0"/>
        <w:rPr>
          <w:rFonts w:asciiTheme="minorHAnsi" w:eastAsiaTheme="minorHAnsi" w:hAnsiTheme="minorHAnsi"/>
          <w:color w:val="auto"/>
          <w:sz w:val="20"/>
          <w:szCs w:val="20"/>
          <w:lang w:val="sr-Cyrl-BA" w:eastAsia="en-US"/>
        </w:rPr>
      </w:pPr>
    </w:p>
    <w:p w:rsidR="00AD5361" w:rsidRPr="00EE6483" w:rsidRDefault="001538EF" w:rsidP="001538EF">
      <w:pPr>
        <w:autoSpaceDE w:val="0"/>
        <w:autoSpaceDN w:val="0"/>
        <w:adjustRightInd w:val="0"/>
        <w:rPr>
          <w:rFonts w:asciiTheme="minorHAnsi" w:eastAsiaTheme="minorHAnsi" w:hAnsiTheme="minorHAnsi"/>
          <w:color w:val="auto"/>
          <w:sz w:val="20"/>
          <w:szCs w:val="20"/>
          <w:lang w:eastAsia="en-US"/>
        </w:rPr>
      </w:pPr>
      <w:r w:rsidRPr="00775661">
        <w:rPr>
          <w:rFonts w:asciiTheme="minorHAnsi" w:eastAsiaTheme="minorHAnsi" w:hAnsiTheme="minorHAnsi"/>
          <w:color w:val="auto"/>
          <w:sz w:val="20"/>
          <w:szCs w:val="20"/>
          <w:lang w:val="sr-Cyrl-BA" w:eastAsia="en-US"/>
        </w:rPr>
        <w:t xml:space="preserve">Влада Републике Српске у функцији Скупштине акционара Фонда </w:t>
      </w:r>
      <w:r w:rsidR="00775661">
        <w:rPr>
          <w:rFonts w:asciiTheme="minorHAnsi" w:eastAsiaTheme="minorHAnsi" w:hAnsiTheme="minorHAnsi"/>
          <w:color w:val="auto"/>
          <w:sz w:val="20"/>
          <w:szCs w:val="20"/>
          <w:lang w:val="sr-Cyrl-BA" w:eastAsia="en-US"/>
        </w:rPr>
        <w:t>је током 202</w:t>
      </w:r>
      <w:r w:rsidR="008F3863">
        <w:rPr>
          <w:rFonts w:asciiTheme="minorHAnsi" w:eastAsiaTheme="minorHAnsi" w:hAnsiTheme="minorHAnsi"/>
          <w:color w:val="auto"/>
          <w:sz w:val="20"/>
          <w:szCs w:val="20"/>
          <w:lang w:eastAsia="en-US"/>
        </w:rPr>
        <w:t>4</w:t>
      </w:r>
      <w:r w:rsidR="00775661">
        <w:rPr>
          <w:rFonts w:asciiTheme="minorHAnsi" w:eastAsiaTheme="minorHAnsi" w:hAnsiTheme="minorHAnsi"/>
          <w:color w:val="auto"/>
          <w:sz w:val="20"/>
          <w:szCs w:val="20"/>
          <w:lang w:val="sr-Cyrl-BA" w:eastAsia="en-US"/>
        </w:rPr>
        <w:t>. године одржала</w:t>
      </w:r>
      <w:r w:rsidRPr="00775661">
        <w:rPr>
          <w:rFonts w:asciiTheme="minorHAnsi" w:eastAsiaTheme="minorHAnsi" w:hAnsiTheme="minorHAnsi"/>
          <w:color w:val="auto"/>
          <w:sz w:val="20"/>
          <w:szCs w:val="20"/>
          <w:lang w:val="sr-Cyrl-BA" w:eastAsia="en-US"/>
        </w:rPr>
        <w:t xml:space="preserve"> </w:t>
      </w:r>
      <w:r w:rsidR="00266AB6" w:rsidRPr="00775661">
        <w:rPr>
          <w:rFonts w:asciiTheme="minorHAnsi" w:eastAsiaTheme="minorHAnsi" w:hAnsiTheme="minorHAnsi"/>
          <w:color w:val="auto"/>
          <w:sz w:val="20"/>
          <w:szCs w:val="20"/>
          <w:lang w:val="sr-Cyrl-BA" w:eastAsia="en-US"/>
        </w:rPr>
        <w:t>12</w:t>
      </w:r>
      <w:r w:rsidR="00775661">
        <w:rPr>
          <w:rFonts w:asciiTheme="minorHAnsi" w:eastAsiaTheme="minorHAnsi" w:hAnsiTheme="minorHAnsi"/>
          <w:color w:val="auto"/>
          <w:sz w:val="20"/>
          <w:szCs w:val="20"/>
          <w:lang w:val="sr-Cyrl-BA" w:eastAsia="en-US"/>
        </w:rPr>
        <w:t xml:space="preserve"> сједница, те </w:t>
      </w:r>
      <w:r w:rsidRPr="00775661">
        <w:rPr>
          <w:rFonts w:asciiTheme="minorHAnsi" w:eastAsiaTheme="minorHAnsi" w:hAnsiTheme="minorHAnsi"/>
          <w:color w:val="auto"/>
          <w:sz w:val="20"/>
          <w:szCs w:val="20"/>
          <w:lang w:val="sr-Cyrl-BA" w:eastAsia="en-US"/>
        </w:rPr>
        <w:t>донијела 1</w:t>
      </w:r>
      <w:r w:rsidR="001D676F">
        <w:rPr>
          <w:rFonts w:asciiTheme="minorHAnsi" w:eastAsiaTheme="minorHAnsi" w:hAnsiTheme="minorHAnsi"/>
          <w:color w:val="auto"/>
          <w:sz w:val="20"/>
          <w:szCs w:val="20"/>
          <w:lang w:val="sr-Cyrl-BA" w:eastAsia="en-US"/>
        </w:rPr>
        <w:t>3</w:t>
      </w:r>
      <w:r w:rsidRPr="00775661">
        <w:rPr>
          <w:rFonts w:asciiTheme="minorHAnsi" w:eastAsiaTheme="minorHAnsi" w:hAnsiTheme="minorHAnsi"/>
          <w:color w:val="auto"/>
          <w:sz w:val="20"/>
          <w:szCs w:val="20"/>
          <w:lang w:val="sr-Cyrl-BA" w:eastAsia="en-US"/>
        </w:rPr>
        <w:t xml:space="preserve"> одлука </w:t>
      </w:r>
      <w:r w:rsidR="00266AB6" w:rsidRPr="00775661">
        <w:rPr>
          <w:rFonts w:asciiTheme="minorHAnsi" w:eastAsiaTheme="minorHAnsi" w:hAnsiTheme="minorHAnsi"/>
          <w:color w:val="auto"/>
          <w:sz w:val="20"/>
          <w:szCs w:val="20"/>
          <w:lang w:val="sr-Cyrl-BA" w:eastAsia="en-US"/>
        </w:rPr>
        <w:t xml:space="preserve">и </w:t>
      </w:r>
      <w:r w:rsidR="001D676F">
        <w:rPr>
          <w:rFonts w:asciiTheme="minorHAnsi" w:eastAsiaTheme="minorHAnsi" w:hAnsiTheme="minorHAnsi"/>
          <w:color w:val="auto"/>
          <w:sz w:val="20"/>
          <w:szCs w:val="20"/>
          <w:lang w:val="sr-Cyrl-BA" w:eastAsia="en-US"/>
        </w:rPr>
        <w:t xml:space="preserve">11 </w:t>
      </w:r>
      <w:r w:rsidR="00266AB6" w:rsidRPr="00775661">
        <w:rPr>
          <w:rFonts w:asciiTheme="minorHAnsi" w:eastAsiaTheme="minorHAnsi" w:hAnsiTheme="minorHAnsi"/>
          <w:color w:val="auto"/>
          <w:sz w:val="20"/>
          <w:szCs w:val="20"/>
          <w:lang w:val="sr-Cyrl-BA" w:eastAsia="en-US"/>
        </w:rPr>
        <w:t xml:space="preserve">рјешења </w:t>
      </w:r>
      <w:r w:rsidRPr="00775661">
        <w:rPr>
          <w:rFonts w:asciiTheme="minorHAnsi" w:eastAsiaTheme="minorHAnsi" w:hAnsiTheme="minorHAnsi"/>
          <w:color w:val="auto"/>
          <w:sz w:val="20"/>
          <w:szCs w:val="20"/>
          <w:lang w:val="sr-Cyrl-BA" w:eastAsia="en-US"/>
        </w:rPr>
        <w:t>из своје надлежности.</w:t>
      </w:r>
      <w:r w:rsidR="00775661">
        <w:rPr>
          <w:rFonts w:asciiTheme="minorHAnsi" w:eastAsiaTheme="minorHAnsi" w:hAnsiTheme="minorHAnsi"/>
          <w:color w:val="auto"/>
          <w:sz w:val="20"/>
          <w:szCs w:val="20"/>
          <w:lang w:val="sr-Cyrl-BA" w:eastAsia="en-US"/>
        </w:rPr>
        <w:t xml:space="preserve"> </w:t>
      </w:r>
      <w:r w:rsidRPr="00DE3404">
        <w:rPr>
          <w:rFonts w:asciiTheme="minorHAnsi" w:eastAsiaTheme="minorHAnsi" w:hAnsiTheme="minorHAnsi"/>
          <w:color w:val="auto"/>
          <w:sz w:val="20"/>
          <w:szCs w:val="20"/>
          <w:lang w:val="sr-Cyrl-BA" w:eastAsia="en-US"/>
        </w:rPr>
        <w:t xml:space="preserve">Надзорни одбор је одржао </w:t>
      </w:r>
      <w:r w:rsidR="00775661" w:rsidRPr="00DE3404">
        <w:rPr>
          <w:rFonts w:asciiTheme="minorHAnsi" w:eastAsiaTheme="minorHAnsi" w:hAnsiTheme="minorHAnsi"/>
          <w:color w:val="auto"/>
          <w:sz w:val="20"/>
          <w:szCs w:val="20"/>
          <w:lang w:val="sr-Cyrl-BA" w:eastAsia="en-US"/>
        </w:rPr>
        <w:t xml:space="preserve">14 сједница, од чега </w:t>
      </w:r>
      <w:r w:rsidR="00266AB6" w:rsidRPr="00DE3404">
        <w:rPr>
          <w:rFonts w:asciiTheme="minorHAnsi" w:eastAsiaTheme="minorHAnsi" w:hAnsiTheme="minorHAnsi"/>
          <w:color w:val="auto"/>
          <w:sz w:val="20"/>
          <w:szCs w:val="20"/>
          <w:lang w:val="sr-Cyrl-BA" w:eastAsia="en-US"/>
        </w:rPr>
        <w:t xml:space="preserve">6 редовних и 8 ванредних. </w:t>
      </w:r>
      <w:r w:rsidR="00775661" w:rsidRPr="00DE3404">
        <w:rPr>
          <w:rFonts w:asciiTheme="minorHAnsi" w:eastAsiaTheme="minorHAnsi" w:hAnsiTheme="minorHAnsi"/>
          <w:color w:val="auto"/>
          <w:sz w:val="20"/>
          <w:szCs w:val="20"/>
          <w:lang w:val="sr-Cyrl-BA" w:eastAsia="en-US"/>
        </w:rPr>
        <w:t>Овај орган</w:t>
      </w:r>
      <w:r w:rsidR="00266AB6" w:rsidRPr="00DE3404">
        <w:rPr>
          <w:rFonts w:asciiTheme="minorHAnsi" w:eastAsiaTheme="minorHAnsi" w:hAnsiTheme="minorHAnsi"/>
          <w:color w:val="auto"/>
          <w:sz w:val="20"/>
          <w:szCs w:val="20"/>
          <w:lang w:val="sr-Cyrl-BA" w:eastAsia="en-US"/>
        </w:rPr>
        <w:t xml:space="preserve"> </w:t>
      </w:r>
      <w:r w:rsidR="00775661" w:rsidRPr="00DE3404">
        <w:rPr>
          <w:rFonts w:asciiTheme="minorHAnsi" w:eastAsiaTheme="minorHAnsi" w:hAnsiTheme="minorHAnsi"/>
          <w:color w:val="auto"/>
          <w:sz w:val="20"/>
          <w:szCs w:val="20"/>
          <w:lang w:val="sr-Cyrl-BA" w:eastAsia="en-US"/>
        </w:rPr>
        <w:t xml:space="preserve">Фонда </w:t>
      </w:r>
      <w:r w:rsidR="00266AB6" w:rsidRPr="00DE3404">
        <w:rPr>
          <w:rFonts w:asciiTheme="minorHAnsi" w:eastAsiaTheme="minorHAnsi" w:hAnsiTheme="minorHAnsi"/>
          <w:color w:val="auto"/>
          <w:sz w:val="20"/>
          <w:szCs w:val="20"/>
          <w:lang w:val="sr-Cyrl-BA" w:eastAsia="en-US"/>
        </w:rPr>
        <w:t xml:space="preserve">је донио укупно </w:t>
      </w:r>
      <w:r w:rsidR="001D676F">
        <w:rPr>
          <w:rFonts w:asciiTheme="minorHAnsi" w:eastAsiaTheme="minorHAnsi" w:hAnsiTheme="minorHAnsi"/>
          <w:color w:val="auto"/>
          <w:sz w:val="20"/>
          <w:szCs w:val="20"/>
          <w:lang w:val="sr-Cyrl-BA" w:eastAsia="en-US"/>
        </w:rPr>
        <w:t>60</w:t>
      </w:r>
      <w:r w:rsidR="00266AB6" w:rsidRPr="00DE3404">
        <w:rPr>
          <w:rFonts w:asciiTheme="minorHAnsi" w:eastAsiaTheme="minorHAnsi" w:hAnsiTheme="minorHAnsi"/>
          <w:color w:val="auto"/>
          <w:sz w:val="20"/>
          <w:szCs w:val="20"/>
          <w:lang w:val="sr-Cyrl-BA" w:eastAsia="en-US"/>
        </w:rPr>
        <w:t xml:space="preserve"> правних аката из своје надлежности, и то: </w:t>
      </w:r>
      <w:r w:rsidR="001D676F">
        <w:rPr>
          <w:rFonts w:asciiTheme="minorHAnsi" w:eastAsiaTheme="minorHAnsi" w:hAnsiTheme="minorHAnsi"/>
          <w:color w:val="auto"/>
          <w:sz w:val="20"/>
          <w:szCs w:val="20"/>
          <w:lang w:val="sr-Cyrl-BA" w:eastAsia="en-US"/>
        </w:rPr>
        <w:t>30</w:t>
      </w:r>
      <w:r w:rsidR="00266AB6" w:rsidRPr="00DE3404">
        <w:rPr>
          <w:rFonts w:asciiTheme="minorHAnsi" w:eastAsiaTheme="minorHAnsi" w:hAnsiTheme="minorHAnsi"/>
          <w:color w:val="auto"/>
          <w:sz w:val="20"/>
          <w:szCs w:val="20"/>
          <w:lang w:val="sr-Cyrl-BA" w:eastAsia="en-US"/>
        </w:rPr>
        <w:t xml:space="preserve"> одлука, 2</w:t>
      </w:r>
      <w:r w:rsidR="001D676F">
        <w:rPr>
          <w:rFonts w:asciiTheme="minorHAnsi" w:eastAsiaTheme="minorHAnsi" w:hAnsiTheme="minorHAnsi"/>
          <w:color w:val="auto"/>
          <w:sz w:val="20"/>
          <w:szCs w:val="20"/>
          <w:lang w:val="sr-Cyrl-BA" w:eastAsia="en-US"/>
        </w:rPr>
        <w:t>8</w:t>
      </w:r>
      <w:r w:rsidR="00266AB6" w:rsidRPr="00DE3404">
        <w:rPr>
          <w:rFonts w:asciiTheme="minorHAnsi" w:eastAsiaTheme="minorHAnsi" w:hAnsiTheme="minorHAnsi"/>
          <w:color w:val="auto"/>
          <w:sz w:val="20"/>
          <w:szCs w:val="20"/>
          <w:lang w:val="sr-Cyrl-BA" w:eastAsia="en-US"/>
        </w:rPr>
        <w:t xml:space="preserve"> закључак</w:t>
      </w:r>
      <w:r w:rsidR="001D676F">
        <w:rPr>
          <w:rFonts w:asciiTheme="minorHAnsi" w:eastAsiaTheme="minorHAnsi" w:hAnsiTheme="minorHAnsi"/>
          <w:color w:val="auto"/>
          <w:sz w:val="20"/>
          <w:szCs w:val="20"/>
          <w:lang w:val="sr-Cyrl-BA" w:eastAsia="en-US"/>
        </w:rPr>
        <w:t>а</w:t>
      </w:r>
      <w:r w:rsidR="00266AB6" w:rsidRPr="00DE3404">
        <w:rPr>
          <w:rFonts w:asciiTheme="minorHAnsi" w:eastAsiaTheme="minorHAnsi" w:hAnsiTheme="minorHAnsi"/>
          <w:color w:val="auto"/>
          <w:sz w:val="20"/>
          <w:szCs w:val="20"/>
          <w:lang w:val="sr-Cyrl-BA" w:eastAsia="en-US"/>
        </w:rPr>
        <w:t>, 5 рјешења, једн</w:t>
      </w:r>
      <w:r w:rsidR="00775661" w:rsidRPr="00DE3404">
        <w:rPr>
          <w:rFonts w:asciiTheme="minorHAnsi" w:eastAsiaTheme="minorHAnsi" w:hAnsiTheme="minorHAnsi"/>
          <w:color w:val="auto"/>
          <w:sz w:val="20"/>
          <w:szCs w:val="20"/>
          <w:lang w:val="sr-Cyrl-BA" w:eastAsia="en-US"/>
        </w:rPr>
        <w:t>у иницијативу и један извјештај.</w:t>
      </w:r>
      <w:r w:rsidR="00AD5361" w:rsidRPr="00DE3404">
        <w:rPr>
          <w:rFonts w:asciiTheme="minorHAnsi" w:eastAsiaTheme="minorHAnsi" w:hAnsiTheme="minorHAnsi"/>
          <w:color w:val="auto"/>
          <w:sz w:val="20"/>
          <w:szCs w:val="20"/>
          <w:lang w:val="sr-Cyrl-BA" w:eastAsia="en-US"/>
        </w:rPr>
        <w:t xml:space="preserve"> </w:t>
      </w:r>
      <w:r w:rsidRPr="00DE3404">
        <w:rPr>
          <w:rFonts w:asciiTheme="minorHAnsi" w:eastAsiaTheme="minorHAnsi" w:hAnsiTheme="minorHAnsi"/>
          <w:color w:val="auto"/>
          <w:sz w:val="20"/>
          <w:szCs w:val="20"/>
          <w:lang w:val="sr-Cyrl-BA" w:eastAsia="en-US"/>
        </w:rPr>
        <w:t xml:space="preserve">Одбор за ревизију је одржао  </w:t>
      </w:r>
      <w:r w:rsidR="004A36D0" w:rsidRPr="00DE3404">
        <w:rPr>
          <w:rFonts w:asciiTheme="minorHAnsi" w:eastAsiaTheme="minorHAnsi" w:hAnsiTheme="minorHAnsi"/>
          <w:color w:val="auto"/>
          <w:sz w:val="20"/>
          <w:szCs w:val="20"/>
          <w:lang w:val="sr-Cyrl-BA" w:eastAsia="en-US"/>
        </w:rPr>
        <w:t>4 сједнице</w:t>
      </w:r>
      <w:r w:rsidR="00775661" w:rsidRPr="00DE3404">
        <w:rPr>
          <w:rFonts w:asciiTheme="minorHAnsi" w:eastAsiaTheme="minorHAnsi" w:hAnsiTheme="minorHAnsi"/>
          <w:color w:val="auto"/>
          <w:sz w:val="20"/>
          <w:szCs w:val="20"/>
          <w:lang w:val="sr-Cyrl-BA" w:eastAsia="en-US"/>
        </w:rPr>
        <w:t xml:space="preserve"> и донио </w:t>
      </w:r>
      <w:r w:rsidR="00575C8E" w:rsidRPr="00DE3404">
        <w:rPr>
          <w:rFonts w:asciiTheme="minorHAnsi" w:eastAsiaTheme="minorHAnsi" w:hAnsiTheme="minorHAnsi"/>
          <w:color w:val="auto"/>
          <w:sz w:val="20"/>
          <w:szCs w:val="20"/>
          <w:lang w:val="sr-Cyrl-BA" w:eastAsia="en-US"/>
        </w:rPr>
        <w:t>18</w:t>
      </w:r>
      <w:r w:rsidR="00775661" w:rsidRPr="00DE3404">
        <w:rPr>
          <w:rFonts w:asciiTheme="minorHAnsi" w:eastAsiaTheme="minorHAnsi" w:hAnsiTheme="minorHAnsi"/>
          <w:color w:val="auto"/>
          <w:sz w:val="20"/>
          <w:szCs w:val="20"/>
          <w:lang w:val="sr-Cyrl-BA" w:eastAsia="en-US"/>
        </w:rPr>
        <w:t xml:space="preserve"> препорука</w:t>
      </w:r>
      <w:r w:rsidR="00AD5361" w:rsidRPr="00DE3404">
        <w:rPr>
          <w:rFonts w:asciiTheme="minorHAnsi" w:eastAsiaTheme="minorHAnsi" w:hAnsiTheme="minorHAnsi"/>
          <w:color w:val="auto"/>
          <w:sz w:val="20"/>
          <w:szCs w:val="20"/>
          <w:lang w:val="sr-Cyrl-BA" w:eastAsia="en-US"/>
        </w:rPr>
        <w:t xml:space="preserve">. </w:t>
      </w:r>
      <w:r w:rsidR="001D676F">
        <w:rPr>
          <w:rFonts w:asciiTheme="minorHAnsi" w:eastAsiaTheme="minorHAnsi" w:hAnsiTheme="minorHAnsi"/>
          <w:color w:val="auto"/>
          <w:sz w:val="20"/>
          <w:szCs w:val="20"/>
          <w:lang w:val="sr-Cyrl-BA" w:eastAsia="en-US"/>
        </w:rPr>
        <w:t>Гарантни одбор је одржао 23 сједнице.</w:t>
      </w:r>
    </w:p>
    <w:p w:rsidR="001D676F" w:rsidRDefault="001D676F" w:rsidP="001538EF">
      <w:pPr>
        <w:autoSpaceDE w:val="0"/>
        <w:autoSpaceDN w:val="0"/>
        <w:adjustRightInd w:val="0"/>
        <w:rPr>
          <w:rFonts w:asciiTheme="minorHAnsi" w:eastAsiaTheme="minorHAnsi" w:hAnsiTheme="minorHAnsi"/>
          <w:color w:val="auto"/>
          <w:sz w:val="20"/>
          <w:szCs w:val="20"/>
          <w:lang w:val="sr-Cyrl-BA" w:eastAsia="en-US"/>
        </w:rPr>
      </w:pPr>
    </w:p>
    <w:p w:rsidR="001538EF" w:rsidRDefault="001538EF" w:rsidP="00FE0E1B">
      <w:pPr>
        <w:autoSpaceDE w:val="0"/>
        <w:autoSpaceDN w:val="0"/>
        <w:adjustRightInd w:val="0"/>
        <w:rPr>
          <w:rFonts w:asciiTheme="minorHAnsi" w:eastAsiaTheme="minorHAnsi" w:hAnsiTheme="minorHAnsi"/>
          <w:color w:val="auto"/>
          <w:sz w:val="20"/>
          <w:szCs w:val="20"/>
          <w:lang w:val="sr-Cyrl-RS" w:eastAsia="en-US"/>
        </w:rPr>
      </w:pPr>
      <w:r w:rsidRPr="00EB4CFD">
        <w:rPr>
          <w:rFonts w:asciiTheme="minorHAnsi" w:eastAsiaTheme="minorHAnsi" w:hAnsiTheme="minorHAnsi"/>
          <w:color w:val="auto"/>
          <w:sz w:val="20"/>
          <w:szCs w:val="20"/>
          <w:lang w:eastAsia="en-US"/>
        </w:rPr>
        <w:t>Правилником о унутрашњој организацији и систематизациј</w:t>
      </w:r>
      <w:r w:rsidRPr="00EB4CFD">
        <w:rPr>
          <w:rFonts w:asciiTheme="minorHAnsi" w:eastAsiaTheme="minorHAnsi" w:hAnsiTheme="minorHAnsi"/>
          <w:color w:val="auto"/>
          <w:sz w:val="20"/>
          <w:szCs w:val="20"/>
          <w:lang w:val="sr-Cyrl-RS" w:eastAsia="en-US"/>
        </w:rPr>
        <w:t>и</w:t>
      </w:r>
      <w:r w:rsidRPr="00EB4CFD">
        <w:rPr>
          <w:rFonts w:asciiTheme="minorHAnsi" w:eastAsiaTheme="minorHAnsi" w:hAnsiTheme="minorHAnsi"/>
          <w:color w:val="auto"/>
          <w:sz w:val="20"/>
          <w:szCs w:val="20"/>
          <w:lang w:eastAsia="en-US"/>
        </w:rPr>
        <w:t xml:space="preserve"> радних мјеста</w:t>
      </w:r>
      <w:r w:rsidRPr="00EB4CFD">
        <w:rPr>
          <w:rFonts w:asciiTheme="minorHAnsi" w:eastAsiaTheme="minorHAnsi" w:hAnsiTheme="minorHAnsi"/>
          <w:color w:val="auto"/>
          <w:sz w:val="20"/>
          <w:szCs w:val="20"/>
          <w:lang w:val="sr-Cyrl-RS" w:eastAsia="en-US"/>
        </w:rPr>
        <w:t xml:space="preserve">, </w:t>
      </w:r>
      <w:r w:rsidRPr="00EB4CFD">
        <w:rPr>
          <w:rFonts w:asciiTheme="minorHAnsi" w:eastAsiaTheme="minorHAnsi" w:hAnsiTheme="minorHAnsi"/>
          <w:color w:val="auto"/>
          <w:sz w:val="20"/>
          <w:szCs w:val="20"/>
          <w:lang w:eastAsia="en-US"/>
        </w:rPr>
        <w:t>у</w:t>
      </w:r>
      <w:r w:rsidRPr="00EB4CFD">
        <w:rPr>
          <w:rFonts w:asciiTheme="minorHAnsi" w:eastAsiaTheme="minorHAnsi" w:hAnsiTheme="minorHAnsi"/>
          <w:color w:val="auto"/>
          <w:sz w:val="20"/>
          <w:szCs w:val="20"/>
          <w:lang w:val="sr-Cyrl-RS" w:eastAsia="en-US"/>
        </w:rPr>
        <w:t xml:space="preserve"> </w:t>
      </w:r>
      <w:r w:rsidR="00775661" w:rsidRPr="00EB4CFD">
        <w:rPr>
          <w:rFonts w:asciiTheme="minorHAnsi" w:eastAsiaTheme="minorHAnsi" w:hAnsiTheme="minorHAnsi"/>
          <w:color w:val="auto"/>
          <w:sz w:val="20"/>
          <w:szCs w:val="20"/>
          <w:lang w:eastAsia="en-US"/>
        </w:rPr>
        <w:t xml:space="preserve">Фонду </w:t>
      </w:r>
      <w:r w:rsidR="00775661" w:rsidRPr="00EB4CFD">
        <w:rPr>
          <w:rFonts w:asciiTheme="minorHAnsi" w:eastAsiaTheme="minorHAnsi" w:hAnsiTheme="minorHAnsi"/>
          <w:color w:val="auto"/>
          <w:sz w:val="20"/>
          <w:szCs w:val="20"/>
          <w:lang w:val="sr-Cyrl-RS" w:eastAsia="en-US"/>
        </w:rPr>
        <w:t>су</w:t>
      </w:r>
      <w:r w:rsidR="00775661" w:rsidRPr="00EB4CFD">
        <w:rPr>
          <w:rFonts w:asciiTheme="minorHAnsi" w:eastAsiaTheme="minorHAnsi" w:hAnsiTheme="minorHAnsi"/>
          <w:color w:val="auto"/>
          <w:sz w:val="20"/>
          <w:szCs w:val="20"/>
          <w:lang w:eastAsia="en-US"/>
        </w:rPr>
        <w:t xml:space="preserve"> систематизован</w:t>
      </w:r>
      <w:r w:rsidR="00775661" w:rsidRPr="00EB4CFD">
        <w:rPr>
          <w:rFonts w:asciiTheme="minorHAnsi" w:eastAsiaTheme="minorHAnsi" w:hAnsiTheme="minorHAnsi"/>
          <w:color w:val="auto"/>
          <w:sz w:val="20"/>
          <w:szCs w:val="20"/>
          <w:lang w:val="sr-Cyrl-RS" w:eastAsia="en-US"/>
        </w:rPr>
        <w:t>а</w:t>
      </w:r>
      <w:r w:rsidR="00775661" w:rsidRPr="00EB4CFD">
        <w:rPr>
          <w:rFonts w:asciiTheme="minorHAnsi" w:eastAsiaTheme="minorHAnsi" w:hAnsiTheme="minorHAnsi"/>
          <w:color w:val="auto"/>
          <w:sz w:val="20"/>
          <w:szCs w:val="20"/>
          <w:lang w:eastAsia="en-US"/>
        </w:rPr>
        <w:t xml:space="preserve"> </w:t>
      </w:r>
      <w:r w:rsidR="00195FB5">
        <w:rPr>
          <w:rFonts w:asciiTheme="minorHAnsi" w:eastAsiaTheme="minorHAnsi" w:hAnsiTheme="minorHAnsi"/>
          <w:color w:val="auto"/>
          <w:sz w:val="20"/>
          <w:szCs w:val="20"/>
          <w:lang w:eastAsia="en-US"/>
        </w:rPr>
        <w:t>23</w:t>
      </w:r>
      <w:r w:rsidRPr="00EB4CFD">
        <w:rPr>
          <w:rFonts w:asciiTheme="minorHAnsi" w:eastAsiaTheme="minorHAnsi" w:hAnsiTheme="minorHAnsi"/>
          <w:color w:val="auto"/>
          <w:sz w:val="20"/>
          <w:szCs w:val="20"/>
          <w:lang w:eastAsia="en-US"/>
        </w:rPr>
        <w:t xml:space="preserve"> радн</w:t>
      </w:r>
      <w:r w:rsidRPr="00EB4CFD">
        <w:rPr>
          <w:rFonts w:asciiTheme="minorHAnsi" w:eastAsiaTheme="minorHAnsi" w:hAnsiTheme="minorHAnsi"/>
          <w:color w:val="auto"/>
          <w:sz w:val="20"/>
          <w:szCs w:val="20"/>
          <w:lang w:val="sr-Cyrl-BA" w:eastAsia="en-US"/>
        </w:rPr>
        <w:t>а</w:t>
      </w:r>
      <w:r w:rsidRPr="00EB4CFD">
        <w:rPr>
          <w:rFonts w:asciiTheme="minorHAnsi" w:eastAsiaTheme="minorHAnsi" w:hAnsiTheme="minorHAnsi"/>
          <w:color w:val="auto"/>
          <w:sz w:val="20"/>
          <w:szCs w:val="20"/>
          <w:lang w:eastAsia="en-US"/>
        </w:rPr>
        <w:t xml:space="preserve"> мјеста</w:t>
      </w:r>
      <w:r w:rsidR="007A29C2">
        <w:rPr>
          <w:rFonts w:asciiTheme="minorHAnsi" w:eastAsiaTheme="minorHAnsi" w:hAnsiTheme="minorHAnsi"/>
          <w:color w:val="auto"/>
          <w:sz w:val="20"/>
          <w:szCs w:val="20"/>
          <w:lang w:val="sr-Cyrl-RS" w:eastAsia="en-US"/>
        </w:rPr>
        <w:t xml:space="preserve"> са 31 извршиоцем</w:t>
      </w:r>
      <w:r w:rsidRPr="00EB4CFD">
        <w:rPr>
          <w:rFonts w:asciiTheme="minorHAnsi" w:eastAsiaTheme="minorHAnsi" w:hAnsiTheme="minorHAnsi"/>
          <w:color w:val="auto"/>
          <w:sz w:val="20"/>
          <w:szCs w:val="20"/>
          <w:lang w:val="sr-Cyrl-BA" w:eastAsia="en-US"/>
        </w:rPr>
        <w:t>.</w:t>
      </w:r>
      <w:r w:rsidR="00775661" w:rsidRPr="00EB4CFD">
        <w:rPr>
          <w:rFonts w:asciiTheme="minorHAnsi" w:eastAsiaTheme="minorHAnsi" w:hAnsiTheme="minorHAnsi"/>
          <w:color w:val="auto"/>
          <w:sz w:val="20"/>
          <w:szCs w:val="20"/>
          <w:lang w:val="sr-Cyrl-BA" w:eastAsia="en-US"/>
        </w:rPr>
        <w:t xml:space="preserve"> </w:t>
      </w:r>
      <w:r w:rsidR="00775661" w:rsidRPr="00EB4CFD">
        <w:rPr>
          <w:rFonts w:asciiTheme="minorHAnsi" w:eastAsiaTheme="minorHAnsi" w:hAnsiTheme="minorHAnsi"/>
          <w:color w:val="auto"/>
          <w:sz w:val="20"/>
          <w:szCs w:val="20"/>
          <w:lang w:val="sr-Cyrl-RS" w:eastAsia="en-US"/>
        </w:rPr>
        <w:t>На дан</w:t>
      </w:r>
      <w:r w:rsidRPr="00EB4CFD">
        <w:rPr>
          <w:rFonts w:asciiTheme="minorHAnsi" w:eastAsiaTheme="minorHAnsi" w:hAnsiTheme="minorHAnsi"/>
          <w:color w:val="auto"/>
          <w:sz w:val="20"/>
          <w:szCs w:val="20"/>
          <w:lang w:eastAsia="en-US"/>
        </w:rPr>
        <w:t xml:space="preserve"> 31.12.20</w:t>
      </w:r>
      <w:r w:rsidRPr="00EB4CFD">
        <w:rPr>
          <w:rFonts w:asciiTheme="minorHAnsi" w:eastAsiaTheme="minorHAnsi" w:hAnsiTheme="minorHAnsi"/>
          <w:color w:val="auto"/>
          <w:sz w:val="20"/>
          <w:szCs w:val="20"/>
          <w:lang w:val="sr-Cyrl-BA" w:eastAsia="en-US"/>
        </w:rPr>
        <w:t>2</w:t>
      </w:r>
      <w:r w:rsidR="004B568F">
        <w:rPr>
          <w:rFonts w:asciiTheme="minorHAnsi" w:eastAsiaTheme="minorHAnsi" w:hAnsiTheme="minorHAnsi"/>
          <w:color w:val="auto"/>
          <w:sz w:val="20"/>
          <w:szCs w:val="20"/>
          <w:lang w:val="sr-Cyrl-RS" w:eastAsia="en-US"/>
        </w:rPr>
        <w:t>4</w:t>
      </w:r>
      <w:r w:rsidRPr="00EB4CFD">
        <w:rPr>
          <w:rFonts w:asciiTheme="minorHAnsi" w:eastAsiaTheme="minorHAnsi" w:hAnsiTheme="minorHAnsi"/>
          <w:color w:val="auto"/>
          <w:sz w:val="20"/>
          <w:szCs w:val="20"/>
          <w:lang w:eastAsia="en-US"/>
        </w:rPr>
        <w:t>. године</w:t>
      </w:r>
      <w:r w:rsidR="00775661" w:rsidRPr="00EB4CFD">
        <w:rPr>
          <w:rFonts w:asciiTheme="minorHAnsi" w:eastAsiaTheme="minorHAnsi" w:hAnsiTheme="minorHAnsi"/>
          <w:color w:val="auto"/>
          <w:sz w:val="20"/>
          <w:szCs w:val="20"/>
          <w:lang w:val="sr-Cyrl-RS" w:eastAsia="en-US"/>
        </w:rPr>
        <w:t>,</w:t>
      </w:r>
      <w:r w:rsidR="00775661" w:rsidRPr="00EB4CFD">
        <w:rPr>
          <w:rFonts w:asciiTheme="minorHAnsi" w:eastAsiaTheme="minorHAnsi" w:hAnsiTheme="minorHAnsi"/>
          <w:color w:val="auto"/>
          <w:sz w:val="20"/>
          <w:szCs w:val="20"/>
          <w:lang w:eastAsia="en-US"/>
        </w:rPr>
        <w:t xml:space="preserve"> попуњен</w:t>
      </w:r>
      <w:r w:rsidR="00876764">
        <w:rPr>
          <w:rFonts w:asciiTheme="minorHAnsi" w:eastAsiaTheme="minorHAnsi" w:hAnsiTheme="minorHAnsi"/>
          <w:color w:val="auto"/>
          <w:sz w:val="20"/>
          <w:szCs w:val="20"/>
          <w:lang w:val="sr-Cyrl-RS" w:eastAsia="en-US"/>
        </w:rPr>
        <w:t xml:space="preserve">о је 18 </w:t>
      </w:r>
      <w:r w:rsidR="00775661" w:rsidRPr="00EB4CFD">
        <w:rPr>
          <w:rFonts w:asciiTheme="minorHAnsi" w:eastAsiaTheme="minorHAnsi" w:hAnsiTheme="minorHAnsi"/>
          <w:color w:val="auto"/>
          <w:sz w:val="20"/>
          <w:szCs w:val="20"/>
          <w:lang w:eastAsia="en-US"/>
        </w:rPr>
        <w:t>радн</w:t>
      </w:r>
      <w:r w:rsidR="00876764">
        <w:rPr>
          <w:rFonts w:asciiTheme="minorHAnsi" w:eastAsiaTheme="minorHAnsi" w:hAnsiTheme="minorHAnsi"/>
          <w:color w:val="auto"/>
          <w:sz w:val="20"/>
          <w:szCs w:val="20"/>
          <w:lang w:val="sr-Cyrl-RS" w:eastAsia="en-US"/>
        </w:rPr>
        <w:t>их</w:t>
      </w:r>
      <w:r w:rsidRPr="00EB4CFD">
        <w:rPr>
          <w:rFonts w:asciiTheme="minorHAnsi" w:eastAsiaTheme="minorHAnsi" w:hAnsiTheme="minorHAnsi"/>
          <w:color w:val="auto"/>
          <w:sz w:val="20"/>
          <w:szCs w:val="20"/>
          <w:lang w:eastAsia="en-US"/>
        </w:rPr>
        <w:t xml:space="preserve"> мјеста </w:t>
      </w:r>
      <w:r w:rsidR="00876764">
        <w:rPr>
          <w:rFonts w:asciiTheme="minorHAnsi" w:eastAsiaTheme="minorHAnsi" w:hAnsiTheme="minorHAnsi"/>
          <w:color w:val="auto"/>
          <w:sz w:val="20"/>
          <w:szCs w:val="20"/>
          <w:lang w:val="sr-Cyrl-BA" w:eastAsia="en-US"/>
        </w:rPr>
        <w:t>предвиђених</w:t>
      </w:r>
      <w:r w:rsidR="00775661" w:rsidRPr="00EB4CFD">
        <w:rPr>
          <w:rFonts w:asciiTheme="minorHAnsi" w:eastAsiaTheme="minorHAnsi" w:hAnsiTheme="minorHAnsi"/>
          <w:color w:val="auto"/>
          <w:sz w:val="20"/>
          <w:szCs w:val="20"/>
          <w:lang w:val="sr-Cyrl-BA" w:eastAsia="en-US"/>
        </w:rPr>
        <w:t xml:space="preserve"> систематизацијом</w:t>
      </w:r>
      <w:r w:rsidR="007A29C2">
        <w:rPr>
          <w:rFonts w:asciiTheme="minorHAnsi" w:eastAsiaTheme="minorHAnsi" w:hAnsiTheme="minorHAnsi"/>
          <w:color w:val="auto"/>
          <w:sz w:val="20"/>
          <w:szCs w:val="20"/>
          <w:lang w:val="sr-Cyrl-BA" w:eastAsia="en-US"/>
        </w:rPr>
        <w:t xml:space="preserve"> са 2</w:t>
      </w:r>
      <w:r w:rsidR="00714BA7">
        <w:rPr>
          <w:rFonts w:asciiTheme="minorHAnsi" w:eastAsiaTheme="minorHAnsi" w:hAnsiTheme="minorHAnsi"/>
          <w:color w:val="auto"/>
          <w:sz w:val="20"/>
          <w:szCs w:val="20"/>
          <w:lang w:val="sr-Cyrl-BA" w:eastAsia="en-US"/>
        </w:rPr>
        <w:t>4</w:t>
      </w:r>
      <w:r w:rsidR="007A29C2">
        <w:rPr>
          <w:rFonts w:asciiTheme="minorHAnsi" w:eastAsiaTheme="minorHAnsi" w:hAnsiTheme="minorHAnsi"/>
          <w:color w:val="auto"/>
          <w:sz w:val="20"/>
          <w:szCs w:val="20"/>
          <w:lang w:val="sr-Cyrl-BA" w:eastAsia="en-US"/>
        </w:rPr>
        <w:t xml:space="preserve"> запослен</w:t>
      </w:r>
      <w:r w:rsidR="00EE6483">
        <w:rPr>
          <w:rFonts w:asciiTheme="minorHAnsi" w:eastAsiaTheme="minorHAnsi" w:hAnsiTheme="minorHAnsi"/>
          <w:color w:val="auto"/>
          <w:sz w:val="20"/>
          <w:szCs w:val="20"/>
          <w:lang w:val="sr-Cyrl-RS" w:eastAsia="en-US"/>
        </w:rPr>
        <w:t>а</w:t>
      </w:r>
      <w:r w:rsidR="007A29C2">
        <w:rPr>
          <w:rFonts w:asciiTheme="minorHAnsi" w:eastAsiaTheme="minorHAnsi" w:hAnsiTheme="minorHAnsi"/>
          <w:color w:val="auto"/>
          <w:sz w:val="20"/>
          <w:szCs w:val="20"/>
          <w:lang w:val="sr-Cyrl-BA" w:eastAsia="en-US"/>
        </w:rPr>
        <w:t xml:space="preserve"> радника</w:t>
      </w:r>
      <w:r w:rsidRPr="00EB4CFD">
        <w:rPr>
          <w:rFonts w:asciiTheme="minorHAnsi" w:eastAsiaTheme="minorHAnsi" w:hAnsiTheme="minorHAnsi"/>
          <w:color w:val="auto"/>
          <w:sz w:val="20"/>
          <w:szCs w:val="20"/>
          <w:lang w:val="sr-Cyrl-BA" w:eastAsia="en-US"/>
        </w:rPr>
        <w:t xml:space="preserve">. </w:t>
      </w:r>
      <w:r w:rsidR="00EB4CFD" w:rsidRPr="00EB4CFD">
        <w:rPr>
          <w:rFonts w:asciiTheme="minorHAnsi" w:eastAsiaTheme="minorHAnsi" w:hAnsiTheme="minorHAnsi"/>
          <w:color w:val="auto"/>
          <w:sz w:val="20"/>
          <w:szCs w:val="20"/>
          <w:lang w:val="sr-Cyrl-BA" w:eastAsia="en-US"/>
        </w:rPr>
        <w:t>К</w:t>
      </w:r>
      <w:r w:rsidR="00775661" w:rsidRPr="00EB4CFD">
        <w:rPr>
          <w:rFonts w:asciiTheme="minorHAnsi" w:eastAsiaTheme="minorHAnsi" w:hAnsiTheme="minorHAnsi"/>
          <w:color w:val="auto"/>
          <w:sz w:val="20"/>
          <w:szCs w:val="20"/>
          <w:lang w:eastAsia="en-US"/>
        </w:rPr>
        <w:t>валификацион</w:t>
      </w:r>
      <w:r w:rsidR="00EB4CFD" w:rsidRPr="00EB4CFD">
        <w:rPr>
          <w:rFonts w:asciiTheme="minorHAnsi" w:eastAsiaTheme="minorHAnsi" w:hAnsiTheme="minorHAnsi"/>
          <w:color w:val="auto"/>
          <w:sz w:val="20"/>
          <w:szCs w:val="20"/>
          <w:lang w:val="sr-Cyrl-RS" w:eastAsia="en-US"/>
        </w:rPr>
        <w:t>у</w:t>
      </w:r>
      <w:r w:rsidR="00EB4CFD" w:rsidRPr="00EB4CFD">
        <w:rPr>
          <w:rFonts w:asciiTheme="minorHAnsi" w:eastAsiaTheme="minorHAnsi" w:hAnsiTheme="minorHAnsi"/>
          <w:color w:val="auto"/>
          <w:sz w:val="20"/>
          <w:szCs w:val="20"/>
          <w:lang w:eastAsia="en-US"/>
        </w:rPr>
        <w:t xml:space="preserve"> структур</w:t>
      </w:r>
      <w:r w:rsidR="00EB4CFD" w:rsidRPr="00EB4CFD">
        <w:rPr>
          <w:rFonts w:asciiTheme="minorHAnsi" w:eastAsiaTheme="minorHAnsi" w:hAnsiTheme="minorHAnsi"/>
          <w:color w:val="auto"/>
          <w:sz w:val="20"/>
          <w:szCs w:val="20"/>
          <w:lang w:val="sr-Cyrl-RS" w:eastAsia="en-US"/>
        </w:rPr>
        <w:t>у</w:t>
      </w:r>
      <w:r w:rsidR="00775661" w:rsidRPr="00EB4CFD">
        <w:rPr>
          <w:rFonts w:asciiTheme="minorHAnsi" w:eastAsiaTheme="minorHAnsi" w:hAnsiTheme="minorHAnsi"/>
          <w:color w:val="auto"/>
          <w:sz w:val="20"/>
          <w:szCs w:val="20"/>
          <w:lang w:eastAsia="en-US"/>
        </w:rPr>
        <w:t xml:space="preserve"> запослених</w:t>
      </w:r>
      <w:r w:rsidR="00EB4CFD" w:rsidRPr="00EB4CFD">
        <w:rPr>
          <w:rFonts w:asciiTheme="minorHAnsi" w:eastAsiaTheme="minorHAnsi" w:hAnsiTheme="minorHAnsi"/>
          <w:color w:val="auto"/>
          <w:sz w:val="20"/>
          <w:szCs w:val="20"/>
          <w:lang w:val="sr-Cyrl-RS" w:eastAsia="en-US"/>
        </w:rPr>
        <w:t xml:space="preserve"> чини</w:t>
      </w:r>
      <w:r w:rsidR="00775661" w:rsidRPr="00EB4CFD">
        <w:rPr>
          <w:rFonts w:asciiTheme="minorHAnsi" w:eastAsiaTheme="minorHAnsi" w:hAnsiTheme="minorHAnsi"/>
          <w:color w:val="auto"/>
          <w:sz w:val="20"/>
          <w:szCs w:val="20"/>
          <w:lang w:val="sr-Cyrl-RS" w:eastAsia="en-US"/>
        </w:rPr>
        <w:t xml:space="preserve"> </w:t>
      </w:r>
      <w:r w:rsidRPr="00EB4CFD">
        <w:rPr>
          <w:rFonts w:asciiTheme="minorHAnsi" w:eastAsiaTheme="minorHAnsi" w:hAnsiTheme="minorHAnsi"/>
          <w:color w:val="auto"/>
          <w:sz w:val="20"/>
          <w:szCs w:val="20"/>
          <w:lang w:val="sr-Cyrl-BA" w:eastAsia="en-US"/>
        </w:rPr>
        <w:t>20</w:t>
      </w:r>
      <w:r w:rsidR="00775661" w:rsidRPr="00EB4CFD">
        <w:rPr>
          <w:rFonts w:asciiTheme="minorHAnsi" w:eastAsiaTheme="minorHAnsi" w:hAnsiTheme="minorHAnsi"/>
          <w:color w:val="auto"/>
          <w:sz w:val="20"/>
          <w:szCs w:val="20"/>
          <w:lang w:eastAsia="en-US"/>
        </w:rPr>
        <w:t xml:space="preserve"> радника </w:t>
      </w:r>
      <w:r w:rsidR="00EB4CFD" w:rsidRPr="00EB4CFD">
        <w:rPr>
          <w:rFonts w:asciiTheme="minorHAnsi" w:eastAsiaTheme="minorHAnsi" w:hAnsiTheme="minorHAnsi"/>
          <w:color w:val="auto"/>
          <w:sz w:val="20"/>
          <w:szCs w:val="20"/>
          <w:lang w:val="sr-Cyrl-RS" w:eastAsia="en-US"/>
        </w:rPr>
        <w:t xml:space="preserve">са високом стручном спремом и </w:t>
      </w:r>
      <w:r w:rsidR="007A29C2">
        <w:rPr>
          <w:rFonts w:asciiTheme="minorHAnsi" w:eastAsiaTheme="minorHAnsi" w:hAnsiTheme="minorHAnsi"/>
          <w:color w:val="auto"/>
          <w:sz w:val="20"/>
          <w:szCs w:val="20"/>
          <w:lang w:val="sr-Cyrl-RS" w:eastAsia="en-US"/>
        </w:rPr>
        <w:t>4</w:t>
      </w:r>
      <w:r w:rsidR="00775661" w:rsidRPr="00EB4CFD">
        <w:rPr>
          <w:rFonts w:asciiTheme="minorHAnsi" w:eastAsiaTheme="minorHAnsi" w:hAnsiTheme="minorHAnsi"/>
          <w:color w:val="auto"/>
          <w:sz w:val="20"/>
          <w:szCs w:val="20"/>
          <w:lang w:val="sr-Cyrl-RS" w:eastAsia="en-US"/>
        </w:rPr>
        <w:t xml:space="preserve"> радника </w:t>
      </w:r>
      <w:r w:rsidR="00EB4CFD" w:rsidRPr="00EB4CFD">
        <w:rPr>
          <w:rFonts w:asciiTheme="minorHAnsi" w:eastAsiaTheme="minorHAnsi" w:hAnsiTheme="minorHAnsi"/>
          <w:color w:val="auto"/>
          <w:sz w:val="20"/>
          <w:szCs w:val="20"/>
          <w:lang w:val="sr-Cyrl-RS" w:eastAsia="en-US"/>
        </w:rPr>
        <w:t>са средњом стручном спремом</w:t>
      </w:r>
      <w:r w:rsidR="00775661" w:rsidRPr="00EB4CFD">
        <w:rPr>
          <w:rFonts w:asciiTheme="minorHAnsi" w:eastAsiaTheme="minorHAnsi" w:hAnsiTheme="minorHAnsi"/>
          <w:color w:val="auto"/>
          <w:sz w:val="20"/>
          <w:szCs w:val="20"/>
          <w:lang w:val="sr-Cyrl-RS" w:eastAsia="en-US"/>
        </w:rPr>
        <w:t>.</w:t>
      </w:r>
      <w:r w:rsidRPr="00EB4CFD">
        <w:rPr>
          <w:rFonts w:asciiTheme="minorHAnsi" w:eastAsiaTheme="minorHAnsi" w:hAnsiTheme="minorHAnsi"/>
          <w:color w:val="auto"/>
          <w:sz w:val="20"/>
          <w:szCs w:val="20"/>
          <w:lang w:val="sr-Cyrl-RS" w:eastAsia="en-US"/>
        </w:rPr>
        <w:t xml:space="preserve"> </w:t>
      </w:r>
    </w:p>
    <w:p w:rsidR="007A29C2" w:rsidRPr="00EB4CFD" w:rsidRDefault="007A29C2" w:rsidP="00FE0E1B">
      <w:pPr>
        <w:autoSpaceDE w:val="0"/>
        <w:autoSpaceDN w:val="0"/>
        <w:adjustRightInd w:val="0"/>
        <w:rPr>
          <w:rFonts w:asciiTheme="minorHAnsi" w:eastAsiaTheme="minorHAnsi" w:hAnsiTheme="minorHAnsi"/>
          <w:color w:val="auto"/>
          <w:sz w:val="20"/>
          <w:szCs w:val="20"/>
          <w:lang w:val="sr-Cyrl-BA" w:eastAsia="en-US"/>
        </w:rPr>
      </w:pPr>
    </w:p>
    <w:p w:rsidR="001538EF" w:rsidRPr="00775661" w:rsidRDefault="001538EF" w:rsidP="001538EF">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eastAsia="en-US"/>
        </w:rPr>
        <w:t>Извјештавање о раду Гарантног фонда РС регулисано је одредбама Закона, а сви</w:t>
      </w:r>
      <w:r w:rsidRP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eastAsia="en-US"/>
        </w:rPr>
        <w:t>органи посредно или непосредно подносе своје извјештаје о раду и дјеловању</w:t>
      </w:r>
      <w:r w:rsidRP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eastAsia="en-US"/>
        </w:rPr>
        <w:t>Скупштини акционара.</w:t>
      </w:r>
    </w:p>
    <w:p w:rsidR="008F3863" w:rsidRPr="007A29C2" w:rsidRDefault="008F3863" w:rsidP="00FE0E1B">
      <w:pPr>
        <w:autoSpaceDE w:val="0"/>
        <w:autoSpaceDN w:val="0"/>
        <w:adjustRightInd w:val="0"/>
        <w:rPr>
          <w:rFonts w:asciiTheme="minorHAnsi" w:eastAsiaTheme="minorHAnsi" w:hAnsiTheme="minorHAnsi"/>
          <w:color w:val="FF0000"/>
          <w:sz w:val="20"/>
          <w:szCs w:val="20"/>
          <w:lang w:val="sr-Cyrl-RS" w:eastAsia="en-US"/>
        </w:rPr>
      </w:pPr>
    </w:p>
    <w:p w:rsidR="008F3863" w:rsidRPr="003B5CD3" w:rsidRDefault="008F3863" w:rsidP="00FE0E1B">
      <w:pPr>
        <w:autoSpaceDE w:val="0"/>
        <w:autoSpaceDN w:val="0"/>
        <w:adjustRightInd w:val="0"/>
        <w:rPr>
          <w:rFonts w:asciiTheme="minorHAnsi" w:eastAsiaTheme="minorHAnsi" w:hAnsiTheme="minorHAnsi"/>
          <w:color w:val="FF0000"/>
          <w:sz w:val="20"/>
          <w:szCs w:val="20"/>
          <w:lang w:val="sr-Cyrl-RS" w:eastAsia="en-US"/>
        </w:rPr>
      </w:pPr>
    </w:p>
    <w:p w:rsidR="00D01BB3" w:rsidRPr="00D01BB3" w:rsidRDefault="00E84021" w:rsidP="00D01BB3">
      <w:pPr>
        <w:pStyle w:val="Heading1"/>
        <w:numPr>
          <w:ilvl w:val="0"/>
          <w:numId w:val="0"/>
        </w:numPr>
        <w:rPr>
          <w:rFonts w:asciiTheme="minorHAnsi" w:eastAsiaTheme="minorHAnsi" w:hAnsiTheme="minorHAnsi"/>
          <w:lang w:val="sr-Cyrl-RS"/>
        </w:rPr>
      </w:pPr>
      <w:bookmarkStart w:id="4" w:name="_Toc135292168"/>
      <w:r>
        <w:rPr>
          <w:rFonts w:asciiTheme="minorHAnsi" w:eastAsiaTheme="minorHAnsi" w:hAnsiTheme="minorHAnsi"/>
          <w:lang w:val="sr-Cyrl-RS"/>
        </w:rPr>
        <w:lastRenderedPageBreak/>
        <w:t>2</w:t>
      </w:r>
      <w:r w:rsidR="00266AB6">
        <w:rPr>
          <w:rFonts w:asciiTheme="minorHAnsi" w:eastAsiaTheme="minorHAnsi" w:hAnsiTheme="minorHAnsi"/>
          <w:lang w:val="sr-Cyrl-RS"/>
        </w:rPr>
        <w:t xml:space="preserve">.         </w:t>
      </w:r>
      <w:r w:rsidR="001538EF" w:rsidRPr="005767EF">
        <w:rPr>
          <w:rFonts w:asciiTheme="minorHAnsi" w:eastAsiaTheme="minorHAnsi" w:hAnsiTheme="minorHAnsi"/>
        </w:rPr>
        <w:t xml:space="preserve">АНАЛИЗА </w:t>
      </w:r>
      <w:r w:rsidR="00EE6483">
        <w:rPr>
          <w:rFonts w:asciiTheme="minorHAnsi" w:eastAsiaTheme="minorHAnsi" w:hAnsiTheme="minorHAnsi"/>
          <w:lang w:val="sr-Cyrl-RS"/>
        </w:rPr>
        <w:t xml:space="preserve">ИЗДАНИХ </w:t>
      </w:r>
      <w:r w:rsidR="00EE6483">
        <w:rPr>
          <w:rFonts w:asciiTheme="minorHAnsi" w:hAnsiTheme="minorHAnsi"/>
          <w:color w:val="000000" w:themeColor="text1"/>
          <w:lang w:val="sr-Cyrl-RS"/>
        </w:rPr>
        <w:t xml:space="preserve"> ГАРАНЦИЈ</w:t>
      </w:r>
      <w:r w:rsidR="00890FF8" w:rsidRPr="00847319">
        <w:rPr>
          <w:rFonts w:asciiTheme="minorHAnsi" w:hAnsiTheme="minorHAnsi"/>
          <w:color w:val="000000" w:themeColor="text1"/>
          <w:lang w:val="sr-Cyrl-RS"/>
        </w:rPr>
        <w:t xml:space="preserve">А </w:t>
      </w:r>
      <w:r w:rsidR="001538EF" w:rsidRPr="005767EF">
        <w:rPr>
          <w:rFonts w:asciiTheme="minorHAnsi" w:eastAsiaTheme="minorHAnsi" w:hAnsiTheme="minorHAnsi"/>
        </w:rPr>
        <w:t>У 202</w:t>
      </w:r>
      <w:r w:rsidR="00BB1603">
        <w:rPr>
          <w:rFonts w:asciiTheme="minorHAnsi" w:eastAsiaTheme="minorHAnsi" w:hAnsiTheme="minorHAnsi"/>
          <w:lang w:val="sr-Cyrl-BA"/>
        </w:rPr>
        <w:t>4</w:t>
      </w:r>
      <w:r w:rsidR="001538EF" w:rsidRPr="005767EF">
        <w:rPr>
          <w:rFonts w:asciiTheme="minorHAnsi" w:eastAsiaTheme="minorHAnsi" w:hAnsiTheme="minorHAnsi"/>
        </w:rPr>
        <w:t>. ГОДИНИ</w:t>
      </w:r>
      <w:bookmarkStart w:id="5" w:name="_Toc514323447"/>
      <w:bookmarkStart w:id="6" w:name="_Toc135292169"/>
      <w:bookmarkEnd w:id="4"/>
    </w:p>
    <w:p w:rsidR="00BC2C1B" w:rsidRDefault="00D01BB3" w:rsidP="00077D9C">
      <w:pPr>
        <w:pStyle w:val="Heading2"/>
        <w:numPr>
          <w:ilvl w:val="0"/>
          <w:numId w:val="0"/>
        </w:numPr>
        <w:spacing w:line="240" w:lineRule="auto"/>
        <w:rPr>
          <w:rFonts w:asciiTheme="minorHAnsi" w:hAnsiTheme="minorHAnsi"/>
          <w:color w:val="000000" w:themeColor="text1"/>
          <w:szCs w:val="20"/>
          <w:lang w:val="sr-Cyrl-RS"/>
        </w:rPr>
      </w:pPr>
      <w:r>
        <w:rPr>
          <w:rFonts w:asciiTheme="minorHAnsi" w:hAnsiTheme="minorHAnsi"/>
          <w:color w:val="000000" w:themeColor="text1"/>
          <w:szCs w:val="20"/>
          <w:lang w:val="sr-Cyrl-RS"/>
        </w:rPr>
        <w:t>Гар</w:t>
      </w:r>
      <w:r w:rsidR="00BC2C1B">
        <w:rPr>
          <w:rFonts w:asciiTheme="minorHAnsi" w:hAnsiTheme="minorHAnsi"/>
          <w:color w:val="000000" w:themeColor="text1"/>
          <w:szCs w:val="20"/>
          <w:lang w:val="sr-Cyrl-RS"/>
        </w:rPr>
        <w:t>а</w:t>
      </w:r>
      <w:r>
        <w:rPr>
          <w:rFonts w:asciiTheme="minorHAnsi" w:hAnsiTheme="minorHAnsi"/>
          <w:color w:val="000000" w:themeColor="text1"/>
          <w:szCs w:val="20"/>
          <w:lang w:val="sr-Cyrl-RS"/>
        </w:rPr>
        <w:t>нт</w:t>
      </w:r>
      <w:r w:rsidR="00BC2C1B">
        <w:rPr>
          <w:rFonts w:asciiTheme="minorHAnsi" w:hAnsiTheme="minorHAnsi"/>
          <w:color w:val="000000" w:themeColor="text1"/>
          <w:szCs w:val="20"/>
          <w:lang w:val="sr-Cyrl-RS"/>
        </w:rPr>
        <w:t>н</w:t>
      </w:r>
      <w:r>
        <w:rPr>
          <w:rFonts w:asciiTheme="minorHAnsi" w:hAnsiTheme="minorHAnsi"/>
          <w:color w:val="000000" w:themeColor="text1"/>
          <w:szCs w:val="20"/>
          <w:lang w:val="sr-Cyrl-RS"/>
        </w:rPr>
        <w:t xml:space="preserve">и фонд је у 2024. години издао 101 гаранцију у износу од </w:t>
      </w:r>
      <w:r w:rsidRPr="00077D9C">
        <w:rPr>
          <w:rFonts w:asciiTheme="minorHAnsi" w:hAnsiTheme="minorHAnsi"/>
          <w:b/>
          <w:color w:val="000000" w:themeColor="text1"/>
          <w:szCs w:val="20"/>
          <w:lang w:val="sr-Cyrl-RS"/>
        </w:rPr>
        <w:t>15.787.275,00 КМ</w:t>
      </w:r>
      <w:r>
        <w:rPr>
          <w:rFonts w:asciiTheme="minorHAnsi" w:hAnsiTheme="minorHAnsi"/>
          <w:color w:val="000000" w:themeColor="text1"/>
          <w:szCs w:val="20"/>
          <w:lang w:val="sr-Cyrl-RS"/>
        </w:rPr>
        <w:t>, чиме је подржан</w:t>
      </w:r>
      <w:r w:rsidR="00BC2C1B">
        <w:rPr>
          <w:rFonts w:asciiTheme="minorHAnsi" w:hAnsiTheme="minorHAnsi"/>
          <w:color w:val="000000" w:themeColor="text1"/>
          <w:szCs w:val="20"/>
          <w:lang w:val="sr-Cyrl-RS"/>
        </w:rPr>
        <w:t xml:space="preserve">о </w:t>
      </w:r>
      <w:r w:rsidR="00077D9C">
        <w:rPr>
          <w:rFonts w:asciiTheme="minorHAnsi" w:hAnsiTheme="minorHAnsi"/>
          <w:b/>
          <w:color w:val="000000" w:themeColor="text1"/>
          <w:szCs w:val="20"/>
          <w:lang w:val="sr-Cyrl-RS"/>
        </w:rPr>
        <w:t xml:space="preserve">31.574.550,00 </w:t>
      </w:r>
      <w:r w:rsidR="00BC2C1B" w:rsidRPr="00077D9C">
        <w:rPr>
          <w:rFonts w:asciiTheme="minorHAnsi" w:hAnsiTheme="minorHAnsi"/>
          <w:b/>
          <w:color w:val="000000" w:themeColor="text1"/>
          <w:szCs w:val="20"/>
          <w:lang w:val="sr-Cyrl-RS"/>
        </w:rPr>
        <w:t>КМ</w:t>
      </w:r>
      <w:r w:rsidR="00BC2C1B">
        <w:rPr>
          <w:rFonts w:asciiTheme="minorHAnsi" w:hAnsiTheme="minorHAnsi"/>
          <w:color w:val="000000" w:themeColor="text1"/>
          <w:szCs w:val="20"/>
          <w:lang w:val="sr-Cyrl-RS"/>
        </w:rPr>
        <w:t xml:space="preserve"> кредитних пласмана предузетницима и малим и средњим предузећима широм Републике Српске. Од оснивања до данас, </w:t>
      </w:r>
      <w:r w:rsidR="003B5CD3">
        <w:rPr>
          <w:rFonts w:asciiTheme="minorHAnsi" w:hAnsiTheme="minorHAnsi"/>
          <w:color w:val="000000" w:themeColor="text1"/>
          <w:szCs w:val="20"/>
          <w:lang w:val="sr-Cyrl-RS"/>
        </w:rPr>
        <w:t>издане гаранције Фонда су премашиле</w:t>
      </w:r>
      <w:r w:rsidR="00BC2C1B">
        <w:rPr>
          <w:rFonts w:asciiTheme="minorHAnsi" w:hAnsiTheme="minorHAnsi"/>
          <w:color w:val="000000" w:themeColor="text1"/>
          <w:szCs w:val="20"/>
          <w:lang w:val="sr-Cyrl-RS"/>
        </w:rPr>
        <w:t xml:space="preserve"> вриједност од 111 милиона КМ, чиме је омогућен пласман 278 милиона КМ кредитних средстава. </w:t>
      </w:r>
    </w:p>
    <w:p w:rsidR="004B6981" w:rsidRDefault="004B6981" w:rsidP="00077D9C">
      <w:pPr>
        <w:pStyle w:val="Heading2"/>
        <w:numPr>
          <w:ilvl w:val="0"/>
          <w:numId w:val="0"/>
        </w:numPr>
        <w:spacing w:line="240" w:lineRule="auto"/>
        <w:rPr>
          <w:rFonts w:asciiTheme="minorHAnsi" w:hAnsiTheme="minorHAnsi"/>
          <w:color w:val="000000" w:themeColor="text1"/>
          <w:szCs w:val="20"/>
          <w:lang w:val="sr-Cyrl-RS"/>
        </w:rPr>
      </w:pPr>
    </w:p>
    <w:p w:rsidR="00BC2C1B" w:rsidRDefault="00BC2C1B" w:rsidP="00077D9C">
      <w:pPr>
        <w:pStyle w:val="Heading2"/>
        <w:numPr>
          <w:ilvl w:val="0"/>
          <w:numId w:val="0"/>
        </w:numPr>
        <w:spacing w:line="240" w:lineRule="auto"/>
        <w:rPr>
          <w:rFonts w:asciiTheme="minorHAnsi" w:hAnsiTheme="minorHAnsi"/>
          <w:color w:val="000000" w:themeColor="text1"/>
          <w:szCs w:val="20"/>
          <w:lang w:val="sr-Cyrl-RS"/>
        </w:rPr>
      </w:pPr>
      <w:r>
        <w:rPr>
          <w:rFonts w:asciiTheme="minorHAnsi" w:hAnsiTheme="minorHAnsi"/>
          <w:color w:val="000000" w:themeColor="text1"/>
          <w:szCs w:val="20"/>
          <w:lang w:val="sr-Cyrl-RS"/>
        </w:rPr>
        <w:t>Гарантна активност Фонда се одвија у 3 главна сегмента: гаранције у оквиру гарантних линија, гаранције у оквиру кредитног портфеља и гаранције на емитоване хартије од вриједности.</w:t>
      </w:r>
    </w:p>
    <w:p w:rsidR="004B6981" w:rsidRDefault="004B6981" w:rsidP="00077D9C">
      <w:pPr>
        <w:pStyle w:val="Heading2"/>
        <w:numPr>
          <w:ilvl w:val="0"/>
          <w:numId w:val="0"/>
        </w:numPr>
        <w:spacing w:line="240" w:lineRule="auto"/>
        <w:rPr>
          <w:rFonts w:asciiTheme="minorHAnsi" w:hAnsiTheme="minorHAnsi"/>
          <w:color w:val="000000" w:themeColor="text1"/>
          <w:szCs w:val="20"/>
          <w:lang w:val="sr-Cyrl-RS"/>
        </w:rPr>
      </w:pPr>
    </w:p>
    <w:p w:rsidR="00BC2C1B" w:rsidRDefault="00BC2C1B" w:rsidP="00077D9C">
      <w:pPr>
        <w:pStyle w:val="Heading2"/>
        <w:numPr>
          <w:ilvl w:val="0"/>
          <w:numId w:val="0"/>
        </w:numPr>
        <w:spacing w:line="240" w:lineRule="auto"/>
        <w:rPr>
          <w:rFonts w:asciiTheme="minorHAnsi" w:hAnsiTheme="minorHAnsi"/>
          <w:color w:val="000000" w:themeColor="text1"/>
          <w:szCs w:val="20"/>
          <w:lang w:val="sr-Cyrl-RS"/>
        </w:rPr>
      </w:pPr>
      <w:r>
        <w:rPr>
          <w:rFonts w:asciiTheme="minorHAnsi" w:hAnsiTheme="minorHAnsi"/>
          <w:color w:val="000000" w:themeColor="text1"/>
          <w:szCs w:val="20"/>
          <w:lang w:val="sr-Cyrl-RS"/>
        </w:rPr>
        <w:t xml:space="preserve">Од краја 2019. године, када је </w:t>
      </w:r>
      <w:r>
        <w:rPr>
          <w:rFonts w:asciiTheme="minorHAnsi" w:hAnsiTheme="minorHAnsi"/>
          <w:szCs w:val="20"/>
          <w:lang w:val="sr-Cyrl-BA"/>
        </w:rPr>
        <w:t>О</w:t>
      </w:r>
      <w:r w:rsidRPr="005767EF">
        <w:rPr>
          <w:rFonts w:asciiTheme="minorHAnsi" w:hAnsiTheme="minorHAnsi"/>
          <w:szCs w:val="20"/>
          <w:lang w:val="sr-Cyrl-BA"/>
        </w:rPr>
        <w:t>дредбама члана 2 Закона о измјенама и допунама Закона о Га</w:t>
      </w:r>
      <w:r>
        <w:rPr>
          <w:rFonts w:asciiTheme="minorHAnsi" w:hAnsiTheme="minorHAnsi"/>
          <w:szCs w:val="20"/>
          <w:lang w:val="sr-Cyrl-BA"/>
        </w:rPr>
        <w:t>рантном фонду Републике Српске (</w:t>
      </w:r>
      <w:r w:rsidRPr="005767EF">
        <w:rPr>
          <w:rFonts w:asciiTheme="minorHAnsi" w:hAnsiTheme="minorHAnsi"/>
          <w:szCs w:val="20"/>
          <w:lang w:val="sr-Cyrl-BA"/>
        </w:rPr>
        <w:t>„Службени гласник Републике Српске</w:t>
      </w:r>
      <w:r>
        <w:rPr>
          <w:rFonts w:asciiTheme="minorHAnsi" w:hAnsiTheme="minorHAnsi"/>
          <w:szCs w:val="20"/>
          <w:lang w:val="sr-Cyrl-BA"/>
        </w:rPr>
        <w:t>“ број 107/19</w:t>
      </w:r>
      <w:r w:rsidRPr="005767EF">
        <w:rPr>
          <w:rFonts w:asciiTheme="minorHAnsi" w:hAnsiTheme="minorHAnsi"/>
          <w:szCs w:val="20"/>
          <w:lang w:val="sr-Cyrl-BA"/>
        </w:rPr>
        <w:t xml:space="preserve">)  </w:t>
      </w:r>
      <w:r w:rsidRPr="005767EF">
        <w:rPr>
          <w:rFonts w:asciiTheme="minorHAnsi" w:hAnsiTheme="minorHAnsi"/>
          <w:color w:val="000000" w:themeColor="text1"/>
          <w:szCs w:val="20"/>
          <w:lang w:val="sr-Cyrl-BA"/>
        </w:rPr>
        <w:t>и члана 2</w:t>
      </w:r>
      <w:r>
        <w:rPr>
          <w:rFonts w:asciiTheme="minorHAnsi" w:hAnsiTheme="minorHAnsi"/>
          <w:color w:val="000000" w:themeColor="text1"/>
          <w:szCs w:val="20"/>
          <w:lang w:val="sr-Cyrl-BA"/>
        </w:rPr>
        <w:t>,</w:t>
      </w:r>
      <w:r w:rsidRPr="005767EF">
        <w:rPr>
          <w:rFonts w:asciiTheme="minorHAnsi" w:hAnsiTheme="minorHAnsi"/>
          <w:color w:val="000000" w:themeColor="text1"/>
          <w:szCs w:val="20"/>
          <w:lang w:val="sr-Cyrl-BA"/>
        </w:rPr>
        <w:t xml:space="preserve"> став 3 Правилника о одобравању гаранција (</w:t>
      </w:r>
      <w:r w:rsidRPr="005767EF">
        <w:rPr>
          <w:rFonts w:asciiTheme="minorHAnsi" w:hAnsiTheme="minorHAnsi"/>
          <w:noProof/>
          <w:szCs w:val="20"/>
          <w:lang w:val="sr-Cyrl-RS"/>
        </w:rPr>
        <w:t>„Службени гласник Републике Српске“, број 14</w:t>
      </w:r>
      <w:r w:rsidRPr="005767EF">
        <w:rPr>
          <w:rFonts w:asciiTheme="minorHAnsi" w:hAnsiTheme="minorHAnsi"/>
          <w:noProof/>
          <w:szCs w:val="20"/>
        </w:rPr>
        <w:t>/</w:t>
      </w:r>
      <w:r w:rsidRPr="005767EF">
        <w:rPr>
          <w:rFonts w:asciiTheme="minorHAnsi" w:hAnsiTheme="minorHAnsi"/>
          <w:noProof/>
          <w:szCs w:val="20"/>
          <w:lang w:val="sr-Cyrl-BA"/>
        </w:rPr>
        <w:t>21</w:t>
      </w:r>
      <w:r>
        <w:rPr>
          <w:rFonts w:asciiTheme="minorHAnsi" w:hAnsiTheme="minorHAnsi"/>
          <w:noProof/>
          <w:szCs w:val="20"/>
          <w:lang w:val="sr-Cyrl-RS"/>
        </w:rPr>
        <w:t>)</w:t>
      </w:r>
      <w:r w:rsidR="004B6981">
        <w:rPr>
          <w:rFonts w:asciiTheme="minorHAnsi" w:hAnsiTheme="minorHAnsi"/>
          <w:noProof/>
          <w:szCs w:val="20"/>
          <w:lang w:val="sr-Cyrl-RS"/>
        </w:rPr>
        <w:t xml:space="preserve"> уведена</w:t>
      </w:r>
      <w:r>
        <w:rPr>
          <w:rFonts w:asciiTheme="minorHAnsi" w:hAnsiTheme="minorHAnsi"/>
          <w:noProof/>
          <w:szCs w:val="20"/>
          <w:lang w:val="sr-Cyrl-RS"/>
        </w:rPr>
        <w:t xml:space="preserve"> </w:t>
      </w:r>
      <w:r w:rsidR="004B6981">
        <w:rPr>
          <w:rFonts w:asciiTheme="minorHAnsi" w:hAnsiTheme="minorHAnsi"/>
          <w:color w:val="000000" w:themeColor="text1"/>
          <w:szCs w:val="20"/>
          <w:lang w:val="sr-Cyrl-RS"/>
        </w:rPr>
        <w:t>могућност</w:t>
      </w:r>
      <w:r>
        <w:rPr>
          <w:rFonts w:asciiTheme="minorHAnsi" w:hAnsiTheme="minorHAnsi"/>
          <w:color w:val="000000" w:themeColor="text1"/>
          <w:szCs w:val="20"/>
          <w:lang w:val="sr-Cyrl-RS"/>
        </w:rPr>
        <w:t xml:space="preserve"> издавања гаранција на кредитни портфељ, овај сегмент</w:t>
      </w:r>
      <w:r w:rsidR="004B6981">
        <w:rPr>
          <w:rFonts w:asciiTheme="minorHAnsi" w:hAnsiTheme="minorHAnsi"/>
          <w:color w:val="000000" w:themeColor="text1"/>
          <w:szCs w:val="20"/>
          <w:lang w:val="sr-Cyrl-RS"/>
        </w:rPr>
        <w:t xml:space="preserve"> пословања је </w:t>
      </w:r>
      <w:r>
        <w:rPr>
          <w:rFonts w:asciiTheme="minorHAnsi" w:hAnsiTheme="minorHAnsi"/>
          <w:color w:val="000000" w:themeColor="text1"/>
          <w:szCs w:val="20"/>
          <w:lang w:val="sr-Cyrl-RS"/>
        </w:rPr>
        <w:t>постао примарни начин одобр</w:t>
      </w:r>
      <w:r w:rsidR="004B6981">
        <w:rPr>
          <w:rFonts w:asciiTheme="minorHAnsi" w:hAnsiTheme="minorHAnsi"/>
          <w:color w:val="000000" w:themeColor="text1"/>
          <w:szCs w:val="20"/>
          <w:lang w:val="sr-Cyrl-RS"/>
        </w:rPr>
        <w:t>а</w:t>
      </w:r>
      <w:r>
        <w:rPr>
          <w:rFonts w:asciiTheme="minorHAnsi" w:hAnsiTheme="minorHAnsi"/>
          <w:color w:val="000000" w:themeColor="text1"/>
          <w:szCs w:val="20"/>
          <w:lang w:val="sr-Cyrl-RS"/>
        </w:rPr>
        <w:t>вања гаранција</w:t>
      </w:r>
      <w:r w:rsidR="004B6981">
        <w:rPr>
          <w:rFonts w:asciiTheme="minorHAnsi" w:hAnsiTheme="minorHAnsi"/>
          <w:color w:val="000000" w:themeColor="text1"/>
          <w:szCs w:val="20"/>
          <w:lang w:val="sr-Cyrl-RS"/>
        </w:rPr>
        <w:t xml:space="preserve"> и заузео централно мјесто у гарантној активности Фонда</w:t>
      </w:r>
      <w:r>
        <w:rPr>
          <w:rFonts w:asciiTheme="minorHAnsi" w:hAnsiTheme="minorHAnsi"/>
          <w:color w:val="000000" w:themeColor="text1"/>
          <w:szCs w:val="20"/>
          <w:lang w:val="sr-Cyrl-RS"/>
        </w:rPr>
        <w:t xml:space="preserve">. </w:t>
      </w:r>
    </w:p>
    <w:p w:rsidR="00D01BB3" w:rsidRDefault="00BC2C1B" w:rsidP="00775661">
      <w:pPr>
        <w:pStyle w:val="Heading2"/>
        <w:numPr>
          <w:ilvl w:val="0"/>
          <w:numId w:val="0"/>
        </w:numPr>
        <w:rPr>
          <w:rFonts w:asciiTheme="minorHAnsi" w:hAnsiTheme="minorHAnsi"/>
          <w:color w:val="000000" w:themeColor="text1"/>
          <w:szCs w:val="20"/>
          <w:lang w:val="sr-Cyrl-RS"/>
        </w:rPr>
      </w:pPr>
      <w:r>
        <w:rPr>
          <w:rFonts w:asciiTheme="minorHAnsi" w:hAnsiTheme="minorHAnsi"/>
          <w:color w:val="000000" w:themeColor="text1"/>
          <w:szCs w:val="20"/>
          <w:lang w:val="sr-Cyrl-RS"/>
        </w:rPr>
        <w:t xml:space="preserve"> </w:t>
      </w:r>
    </w:p>
    <w:p w:rsidR="001538EF" w:rsidRPr="00847319" w:rsidRDefault="00E84021" w:rsidP="00775661">
      <w:pPr>
        <w:pStyle w:val="Heading2"/>
        <w:numPr>
          <w:ilvl w:val="0"/>
          <w:numId w:val="0"/>
        </w:numPr>
        <w:rPr>
          <w:rFonts w:asciiTheme="minorHAnsi" w:hAnsiTheme="minorHAnsi"/>
          <w:color w:val="000000" w:themeColor="text1"/>
          <w:szCs w:val="20"/>
        </w:rPr>
      </w:pPr>
      <w:r w:rsidRPr="00847319">
        <w:rPr>
          <w:rFonts w:asciiTheme="minorHAnsi" w:hAnsiTheme="minorHAnsi"/>
          <w:color w:val="000000" w:themeColor="text1"/>
          <w:szCs w:val="20"/>
          <w:lang w:val="sr-Cyrl-RS"/>
        </w:rPr>
        <w:t>2</w:t>
      </w:r>
      <w:r w:rsidR="00EF349E">
        <w:rPr>
          <w:rFonts w:asciiTheme="minorHAnsi" w:hAnsiTheme="minorHAnsi"/>
          <w:color w:val="000000" w:themeColor="text1"/>
          <w:szCs w:val="20"/>
          <w:lang w:val="sr-Cyrl-RS"/>
        </w:rPr>
        <w:t xml:space="preserve">.1.  </w:t>
      </w:r>
      <w:r w:rsidR="00890FF8">
        <w:rPr>
          <w:rFonts w:asciiTheme="minorHAnsi" w:hAnsiTheme="minorHAnsi"/>
          <w:color w:val="000000" w:themeColor="text1"/>
          <w:szCs w:val="20"/>
          <w:lang w:val="sr-Cyrl-RS"/>
        </w:rPr>
        <w:t>ПРЕГЛЕД СТАТУСА</w:t>
      </w:r>
      <w:r w:rsidR="001538EF" w:rsidRPr="00847319">
        <w:rPr>
          <w:rFonts w:asciiTheme="minorHAnsi" w:hAnsiTheme="minorHAnsi"/>
          <w:color w:val="000000" w:themeColor="text1"/>
          <w:szCs w:val="20"/>
        </w:rPr>
        <w:t xml:space="preserve"> ГАРАНЦИЈА У </w:t>
      </w:r>
      <w:r w:rsidR="000C2D2F" w:rsidRPr="00847319">
        <w:rPr>
          <w:rFonts w:asciiTheme="minorHAnsi" w:hAnsiTheme="minorHAnsi"/>
          <w:color w:val="000000" w:themeColor="text1"/>
          <w:szCs w:val="20"/>
          <w:lang w:val="sr-Cyrl-RS"/>
        </w:rPr>
        <w:t xml:space="preserve">ОКВИРУ ГАРАНТНИХ ЛИНИЈА </w:t>
      </w:r>
      <w:bookmarkEnd w:id="5"/>
      <w:bookmarkEnd w:id="6"/>
    </w:p>
    <w:p w:rsidR="001538EF" w:rsidRPr="00847319" w:rsidRDefault="001538EF" w:rsidP="001538EF">
      <w:pPr>
        <w:ind w:firstLine="567"/>
        <w:rPr>
          <w:rFonts w:asciiTheme="minorHAnsi" w:hAnsiTheme="minorHAnsi"/>
          <w:noProof/>
          <w:color w:val="000000" w:themeColor="text1"/>
          <w:sz w:val="20"/>
          <w:szCs w:val="20"/>
          <w:lang w:val="sr-Cyrl-RS"/>
        </w:rPr>
      </w:pPr>
    </w:p>
    <w:p w:rsidR="00890FF8" w:rsidRDefault="000524E6" w:rsidP="00890FF8">
      <w:pPr>
        <w:autoSpaceDE w:val="0"/>
        <w:autoSpaceDN w:val="0"/>
        <w:adjustRightInd w:val="0"/>
        <w:rPr>
          <w:rFonts w:asciiTheme="minorHAnsi" w:hAnsiTheme="minorHAnsi"/>
          <w:color w:val="000000" w:themeColor="text1"/>
          <w:sz w:val="20"/>
          <w:szCs w:val="20"/>
          <w:lang w:val="sr-Cyrl-RS"/>
        </w:rPr>
      </w:pPr>
      <w:r>
        <w:rPr>
          <w:rFonts w:asciiTheme="minorHAnsi" w:eastAsiaTheme="minorHAnsi" w:hAnsiTheme="minorHAnsi"/>
          <w:color w:val="000000" w:themeColor="text1"/>
          <w:sz w:val="20"/>
          <w:szCs w:val="20"/>
          <w:lang w:val="sr-Cyrl-BA" w:eastAsia="en-US"/>
        </w:rPr>
        <w:t xml:space="preserve">Почетком 2024. године, финансијски посредници са којима Гарантни фонд сарађује су извршили </w:t>
      </w:r>
      <w:r w:rsidR="003B5CD3">
        <w:rPr>
          <w:rFonts w:asciiTheme="minorHAnsi" w:eastAsiaTheme="minorHAnsi" w:hAnsiTheme="minorHAnsi"/>
          <w:color w:val="000000" w:themeColor="text1"/>
          <w:sz w:val="20"/>
          <w:szCs w:val="20"/>
          <w:lang w:val="sr-Cyrl-BA" w:eastAsia="en-US"/>
        </w:rPr>
        <w:t xml:space="preserve">преоријентацију на </w:t>
      </w:r>
      <w:r>
        <w:rPr>
          <w:rFonts w:asciiTheme="minorHAnsi" w:eastAsiaTheme="minorHAnsi" w:hAnsiTheme="minorHAnsi"/>
          <w:color w:val="000000" w:themeColor="text1"/>
          <w:sz w:val="20"/>
          <w:szCs w:val="20"/>
          <w:lang w:val="sr-Cyrl-BA" w:eastAsia="en-US"/>
        </w:rPr>
        <w:t xml:space="preserve">одобравање гаранција у оквиру кредитног портфеља, те је током године запримљен само један захтјев за гаранцију у оквиру редовних гарантних линија. Ради се о клијенту </w:t>
      </w:r>
      <w:r w:rsidRPr="00847319">
        <w:rPr>
          <w:rFonts w:asciiTheme="minorHAnsi" w:hAnsiTheme="minorHAnsi"/>
          <w:color w:val="000000" w:themeColor="text1"/>
          <w:sz w:val="20"/>
          <w:szCs w:val="20"/>
          <w:lang w:eastAsia="sr-Latn-RS"/>
        </w:rPr>
        <w:t xml:space="preserve">DABAR HOLZ </w:t>
      </w:r>
      <w:r w:rsidR="00890FF8">
        <w:rPr>
          <w:rFonts w:asciiTheme="minorHAnsi" w:hAnsiTheme="minorHAnsi"/>
          <w:color w:val="000000" w:themeColor="text1"/>
          <w:sz w:val="20"/>
          <w:szCs w:val="20"/>
          <w:lang w:val="sr-Cyrl-RS" w:eastAsia="sr-Latn-RS"/>
        </w:rPr>
        <w:t xml:space="preserve">д.о.о. Козарска Дубица. </w:t>
      </w:r>
      <w:r w:rsidR="00890FF8">
        <w:rPr>
          <w:rFonts w:asciiTheme="minorHAnsi" w:eastAsiaTheme="minorHAnsi" w:hAnsiTheme="minorHAnsi"/>
          <w:color w:val="000000" w:themeColor="text1"/>
          <w:sz w:val="20"/>
          <w:szCs w:val="20"/>
          <w:lang w:val="sr-Cyrl-RS" w:eastAsia="en-US"/>
        </w:rPr>
        <w:t>Клијент је поднио захтјев за гаранцију у износу од</w:t>
      </w:r>
      <w:r w:rsidR="00AD5361" w:rsidRPr="00D452DA">
        <w:rPr>
          <w:rFonts w:asciiTheme="minorHAnsi" w:hAnsiTheme="minorHAnsi"/>
          <w:color w:val="000000" w:themeColor="text1"/>
          <w:sz w:val="20"/>
          <w:szCs w:val="20"/>
          <w:lang w:val="sr-Cyrl-RS"/>
        </w:rPr>
        <w:t xml:space="preserve"> </w:t>
      </w:r>
      <w:r w:rsidR="00D452DA" w:rsidRPr="00D452DA">
        <w:rPr>
          <w:rFonts w:asciiTheme="minorHAnsi" w:hAnsiTheme="minorHAnsi"/>
          <w:color w:val="000000" w:themeColor="text1"/>
          <w:sz w:val="20"/>
          <w:szCs w:val="20"/>
          <w:lang w:val="sr-Cyrl-RS"/>
        </w:rPr>
        <w:t xml:space="preserve">150.000,00 КМ, чиме је подржан кредитни пласман </w:t>
      </w:r>
      <w:r w:rsidR="00890FF8">
        <w:rPr>
          <w:rFonts w:asciiTheme="minorHAnsi" w:hAnsiTheme="minorHAnsi"/>
          <w:color w:val="000000" w:themeColor="text1"/>
          <w:sz w:val="20"/>
          <w:szCs w:val="20"/>
          <w:lang w:val="sr-Cyrl-RS"/>
        </w:rPr>
        <w:t xml:space="preserve">Уникредит банке </w:t>
      </w:r>
      <w:r w:rsidR="00D452DA" w:rsidRPr="00D452DA">
        <w:rPr>
          <w:rFonts w:asciiTheme="minorHAnsi" w:hAnsiTheme="minorHAnsi"/>
          <w:color w:val="000000" w:themeColor="text1"/>
          <w:sz w:val="20"/>
          <w:szCs w:val="20"/>
          <w:lang w:val="sr-Cyrl-RS"/>
        </w:rPr>
        <w:t>у износу од 300.000,00 КМ.</w:t>
      </w:r>
      <w:r w:rsidR="00890FF8">
        <w:rPr>
          <w:rFonts w:asciiTheme="minorHAnsi" w:hAnsiTheme="minorHAnsi"/>
          <w:color w:val="000000" w:themeColor="text1"/>
          <w:sz w:val="20"/>
          <w:szCs w:val="20"/>
          <w:lang w:val="sr-Cyrl-RS"/>
        </w:rPr>
        <w:t xml:space="preserve"> </w:t>
      </w:r>
    </w:p>
    <w:p w:rsidR="00890FF8" w:rsidRDefault="00890FF8" w:rsidP="00890FF8">
      <w:pPr>
        <w:autoSpaceDE w:val="0"/>
        <w:autoSpaceDN w:val="0"/>
        <w:adjustRightInd w:val="0"/>
        <w:rPr>
          <w:rFonts w:asciiTheme="minorHAnsi" w:hAnsiTheme="minorHAnsi"/>
          <w:color w:val="000000" w:themeColor="text1"/>
          <w:sz w:val="20"/>
          <w:szCs w:val="20"/>
          <w:lang w:val="sr-Cyrl-RS"/>
        </w:rPr>
      </w:pPr>
    </w:p>
    <w:p w:rsidR="00AD5361" w:rsidRPr="00D452DA" w:rsidRDefault="00890FF8" w:rsidP="00890FF8">
      <w:pPr>
        <w:autoSpaceDE w:val="0"/>
        <w:autoSpaceDN w:val="0"/>
        <w:adjustRightInd w:val="0"/>
        <w:rPr>
          <w:rFonts w:asciiTheme="minorHAnsi" w:hAnsiTheme="minorHAnsi"/>
          <w:color w:val="000000" w:themeColor="text1"/>
          <w:sz w:val="20"/>
          <w:szCs w:val="20"/>
          <w:lang w:val="sr-Cyrl-RS"/>
        </w:rPr>
      </w:pPr>
      <w:r>
        <w:rPr>
          <w:rFonts w:asciiTheme="minorHAnsi" w:hAnsiTheme="minorHAnsi"/>
          <w:color w:val="000000" w:themeColor="text1"/>
          <w:sz w:val="20"/>
          <w:szCs w:val="20"/>
          <w:lang w:val="sr-Cyrl-RS"/>
        </w:rPr>
        <w:t>Принцип издавања гаранција на појединачној основи се и на европском тржишту гаранција сматра застарјелим и неефикасним, а примат преузима одобравање гаранција по пројектном принципу, односно по принципу кредитног портфеља. Издавање гаранција на појединачној основи се у наредном периоду очекује само за оне клијенте који не испуњавају услове за укључење у портфељ или гдје тражени износ кредита премашује максимално дозвољени износ дефинисан уговор</w:t>
      </w:r>
      <w:r w:rsidR="003B5CD3">
        <w:rPr>
          <w:rFonts w:asciiTheme="minorHAnsi" w:hAnsiTheme="minorHAnsi"/>
          <w:color w:val="000000" w:themeColor="text1"/>
          <w:sz w:val="20"/>
          <w:szCs w:val="20"/>
          <w:lang w:val="sr-Cyrl-RS"/>
        </w:rPr>
        <w:t>има</w:t>
      </w:r>
      <w:r>
        <w:rPr>
          <w:rFonts w:asciiTheme="minorHAnsi" w:hAnsiTheme="minorHAnsi"/>
          <w:color w:val="000000" w:themeColor="text1"/>
          <w:sz w:val="20"/>
          <w:szCs w:val="20"/>
          <w:lang w:val="sr-Cyrl-RS"/>
        </w:rPr>
        <w:t xml:space="preserve"> о гарантовању кредитног портфеља са финансијским посредницима. </w:t>
      </w:r>
    </w:p>
    <w:p w:rsidR="00AD5361" w:rsidRDefault="00AD5361" w:rsidP="00AD5361">
      <w:pPr>
        <w:tabs>
          <w:tab w:val="left" w:pos="7381"/>
        </w:tabs>
        <w:autoSpaceDE w:val="0"/>
        <w:autoSpaceDN w:val="0"/>
        <w:adjustRightInd w:val="0"/>
        <w:rPr>
          <w:rFonts w:asciiTheme="minorHAnsi" w:hAnsiTheme="minorHAnsi"/>
          <w:color w:val="FF0000"/>
          <w:sz w:val="20"/>
          <w:szCs w:val="20"/>
          <w:lang w:val="sr-Cyrl-RS"/>
        </w:rPr>
      </w:pPr>
    </w:p>
    <w:p w:rsidR="00947FBF" w:rsidRPr="00D452DA" w:rsidRDefault="00890FF8" w:rsidP="00D452DA">
      <w:pPr>
        <w:tabs>
          <w:tab w:val="left" w:pos="7381"/>
        </w:tabs>
        <w:autoSpaceDE w:val="0"/>
        <w:autoSpaceDN w:val="0"/>
        <w:adjustRightInd w:val="0"/>
        <w:rPr>
          <w:rFonts w:asciiTheme="minorHAnsi" w:hAnsiTheme="minorHAnsi"/>
          <w:color w:val="000000" w:themeColor="text1"/>
          <w:sz w:val="20"/>
          <w:szCs w:val="20"/>
          <w:lang w:val="sr-Cyrl-RS"/>
        </w:rPr>
      </w:pPr>
      <w:r w:rsidRPr="00890FF8">
        <w:rPr>
          <w:rFonts w:asciiTheme="minorHAnsi" w:hAnsiTheme="minorHAnsi"/>
          <w:color w:val="auto"/>
          <w:sz w:val="20"/>
          <w:szCs w:val="20"/>
          <w:lang w:val="sr-Cyrl-RS"/>
        </w:rPr>
        <w:t>Фонд</w:t>
      </w:r>
      <w:r w:rsidR="00AD5361" w:rsidRPr="00890FF8">
        <w:rPr>
          <w:rFonts w:asciiTheme="minorHAnsi" w:hAnsiTheme="minorHAnsi"/>
          <w:color w:val="auto"/>
          <w:sz w:val="20"/>
          <w:szCs w:val="20"/>
          <w:lang w:val="sr-Cyrl-RS"/>
        </w:rPr>
        <w:t xml:space="preserve"> је током године извршио и продужење </w:t>
      </w:r>
      <w:r w:rsidR="00D452DA" w:rsidRPr="00890FF8">
        <w:rPr>
          <w:rFonts w:asciiTheme="minorHAnsi" w:hAnsiTheme="minorHAnsi"/>
          <w:color w:val="auto"/>
          <w:sz w:val="20"/>
          <w:szCs w:val="20"/>
          <w:lang w:val="sr-Cyrl-RS"/>
        </w:rPr>
        <w:t>3 гаранције, односно контрагаранције</w:t>
      </w:r>
      <w:r w:rsidR="001A4B1A">
        <w:rPr>
          <w:rFonts w:asciiTheme="minorHAnsi" w:hAnsiTheme="minorHAnsi"/>
          <w:color w:val="auto"/>
          <w:sz w:val="20"/>
          <w:szCs w:val="20"/>
          <w:lang w:val="sr-Cyrl-RS"/>
        </w:rPr>
        <w:t xml:space="preserve"> у овиру редовних линија</w:t>
      </w:r>
      <w:r w:rsidR="001A4B1A">
        <w:rPr>
          <w:rFonts w:asciiTheme="minorHAnsi" w:hAnsiTheme="minorHAnsi"/>
          <w:color w:val="000000" w:themeColor="text1"/>
          <w:sz w:val="20"/>
          <w:szCs w:val="20"/>
          <w:lang w:val="sr-Cyrl-RS"/>
        </w:rPr>
        <w:t xml:space="preserve"> </w:t>
      </w:r>
      <w:r w:rsidR="00AD5361" w:rsidRPr="00D452DA">
        <w:rPr>
          <w:rFonts w:asciiTheme="minorHAnsi" w:hAnsiTheme="minorHAnsi"/>
          <w:color w:val="000000" w:themeColor="text1"/>
          <w:sz w:val="20"/>
          <w:szCs w:val="20"/>
          <w:lang w:val="sr-Cyrl-RS"/>
        </w:rPr>
        <w:t>којима је током 202</w:t>
      </w:r>
      <w:r w:rsidR="00D452DA" w:rsidRPr="00D452DA">
        <w:rPr>
          <w:rFonts w:asciiTheme="minorHAnsi" w:hAnsiTheme="minorHAnsi"/>
          <w:color w:val="000000" w:themeColor="text1"/>
          <w:sz w:val="20"/>
          <w:szCs w:val="20"/>
          <w:lang w:val="sr-Cyrl-RS"/>
        </w:rPr>
        <w:t>4</w:t>
      </w:r>
      <w:r w:rsidR="00AD5361" w:rsidRPr="00D452DA">
        <w:rPr>
          <w:rFonts w:asciiTheme="minorHAnsi" w:hAnsiTheme="minorHAnsi"/>
          <w:color w:val="000000" w:themeColor="text1"/>
          <w:sz w:val="20"/>
          <w:szCs w:val="20"/>
          <w:lang w:val="sr-Cyrl-RS"/>
        </w:rPr>
        <w:t xml:space="preserve">. године истицао период важења. </w:t>
      </w:r>
      <w:r w:rsidR="001A4B1A">
        <w:rPr>
          <w:rFonts w:asciiTheme="minorHAnsi" w:hAnsiTheme="minorHAnsi"/>
          <w:color w:val="000000" w:themeColor="text1"/>
          <w:sz w:val="20"/>
          <w:szCs w:val="20"/>
          <w:lang w:val="sr-Cyrl-RS"/>
        </w:rPr>
        <w:t xml:space="preserve">Продужење </w:t>
      </w:r>
      <w:r w:rsidR="00AD5361" w:rsidRPr="00D452DA">
        <w:rPr>
          <w:rFonts w:asciiTheme="minorHAnsi" w:hAnsiTheme="minorHAnsi"/>
          <w:color w:val="000000" w:themeColor="text1"/>
          <w:sz w:val="20"/>
          <w:szCs w:val="20"/>
          <w:lang w:val="sr-Cyrl-RS"/>
        </w:rPr>
        <w:t>је извршено по захтјеву клијената уз стандардну процедуру анализе и доношења одлуке о измјени, односно продужењу рока важења</w:t>
      </w:r>
      <w:r w:rsidR="00D452DA" w:rsidRPr="00D452DA">
        <w:rPr>
          <w:rFonts w:asciiTheme="minorHAnsi" w:hAnsiTheme="minorHAnsi"/>
          <w:color w:val="000000" w:themeColor="text1"/>
          <w:sz w:val="20"/>
          <w:szCs w:val="20"/>
          <w:lang w:val="sr-Cyrl-RS"/>
        </w:rPr>
        <w:t>. Продужене су 2 контрагаранције издане</w:t>
      </w:r>
      <w:r w:rsidR="001A4B1A">
        <w:rPr>
          <w:rFonts w:asciiTheme="minorHAnsi" w:hAnsiTheme="minorHAnsi"/>
          <w:color w:val="000000" w:themeColor="text1"/>
          <w:sz w:val="20"/>
          <w:szCs w:val="20"/>
          <w:lang w:val="sr-Cyrl-RS"/>
        </w:rPr>
        <w:t xml:space="preserve"> 2022. године</w:t>
      </w:r>
      <w:r w:rsidR="00D452DA" w:rsidRPr="00D452DA">
        <w:rPr>
          <w:rFonts w:asciiTheme="minorHAnsi" w:hAnsiTheme="minorHAnsi"/>
          <w:color w:val="000000" w:themeColor="text1"/>
          <w:sz w:val="20"/>
          <w:szCs w:val="20"/>
          <w:lang w:val="sr-Cyrl-RS"/>
        </w:rPr>
        <w:t xml:space="preserve"> у корист Прокредит банке по налогу клијента</w:t>
      </w:r>
      <w:r w:rsidR="00AD5361" w:rsidRPr="00D452DA">
        <w:rPr>
          <w:rFonts w:asciiTheme="minorHAnsi" w:hAnsiTheme="minorHAnsi"/>
          <w:color w:val="000000" w:themeColor="text1"/>
          <w:sz w:val="20"/>
          <w:szCs w:val="20"/>
          <w:lang w:val="sr-Cyrl-RS"/>
        </w:rPr>
        <w:t xml:space="preserve"> ОМЦ д</w:t>
      </w:r>
      <w:r w:rsidR="00D452DA" w:rsidRPr="00D452DA">
        <w:rPr>
          <w:rFonts w:asciiTheme="minorHAnsi" w:hAnsiTheme="minorHAnsi"/>
          <w:color w:val="000000" w:themeColor="text1"/>
          <w:sz w:val="20"/>
          <w:szCs w:val="20"/>
          <w:lang w:val="sr-Cyrl-RS"/>
        </w:rPr>
        <w:t xml:space="preserve">.о.о, те једна гаранција издана </w:t>
      </w:r>
      <w:r w:rsidR="001A4B1A">
        <w:rPr>
          <w:rFonts w:asciiTheme="minorHAnsi" w:hAnsiTheme="minorHAnsi"/>
          <w:color w:val="000000" w:themeColor="text1"/>
          <w:sz w:val="20"/>
          <w:szCs w:val="20"/>
          <w:lang w:val="sr-Cyrl-RS"/>
        </w:rPr>
        <w:t xml:space="preserve">2020. године </w:t>
      </w:r>
      <w:r w:rsidR="00D452DA" w:rsidRPr="00D452DA">
        <w:rPr>
          <w:rFonts w:asciiTheme="minorHAnsi" w:hAnsiTheme="minorHAnsi"/>
          <w:color w:val="000000" w:themeColor="text1"/>
          <w:sz w:val="20"/>
          <w:szCs w:val="20"/>
          <w:lang w:val="sr-Cyrl-RS"/>
        </w:rPr>
        <w:t>у корист Фонда за развој и запошљавање а.д. Бања Лука по налогу клијента</w:t>
      </w:r>
      <w:r w:rsidR="00AD5361" w:rsidRPr="00D452DA">
        <w:rPr>
          <w:rFonts w:asciiTheme="minorHAnsi" w:hAnsiTheme="minorHAnsi"/>
          <w:color w:val="000000" w:themeColor="text1"/>
          <w:sz w:val="20"/>
          <w:szCs w:val="20"/>
          <w:lang w:val="sr-Cyrl-RS"/>
        </w:rPr>
        <w:t xml:space="preserve"> Сава Семберија а.д. Бијељина. Наведеним </w:t>
      </w:r>
      <w:r w:rsidR="001A4B1A">
        <w:rPr>
          <w:rFonts w:asciiTheme="minorHAnsi" w:hAnsiTheme="minorHAnsi"/>
          <w:color w:val="000000" w:themeColor="text1"/>
          <w:sz w:val="20"/>
          <w:szCs w:val="20"/>
          <w:lang w:val="sr-Cyrl-RS"/>
        </w:rPr>
        <w:t>контра/</w:t>
      </w:r>
      <w:r w:rsidR="00AD5361" w:rsidRPr="00D452DA">
        <w:rPr>
          <w:rFonts w:asciiTheme="minorHAnsi" w:hAnsiTheme="minorHAnsi"/>
          <w:color w:val="000000" w:themeColor="text1"/>
          <w:sz w:val="20"/>
          <w:szCs w:val="20"/>
          <w:lang w:val="sr-Cyrl-RS"/>
        </w:rPr>
        <w:t>гаранцијама</w:t>
      </w:r>
      <w:r w:rsidR="001A4B1A" w:rsidRPr="00D452DA">
        <w:rPr>
          <w:rFonts w:asciiTheme="minorHAnsi" w:hAnsiTheme="minorHAnsi"/>
          <w:color w:val="000000" w:themeColor="text1"/>
          <w:sz w:val="20"/>
          <w:szCs w:val="20"/>
          <w:lang w:val="sr-Cyrl-RS"/>
        </w:rPr>
        <w:t xml:space="preserve"> </w:t>
      </w:r>
      <w:r w:rsidR="001A4B1A">
        <w:rPr>
          <w:rFonts w:asciiTheme="minorHAnsi" w:hAnsiTheme="minorHAnsi"/>
          <w:color w:val="000000" w:themeColor="text1"/>
          <w:sz w:val="20"/>
          <w:szCs w:val="20"/>
          <w:lang w:val="sr-Cyrl-RS"/>
        </w:rPr>
        <w:t xml:space="preserve">у износу од </w:t>
      </w:r>
      <w:r w:rsidR="001A4B1A" w:rsidRPr="00D452DA">
        <w:rPr>
          <w:rFonts w:asciiTheme="minorHAnsi" w:hAnsiTheme="minorHAnsi"/>
          <w:color w:val="000000" w:themeColor="text1"/>
          <w:sz w:val="20"/>
          <w:szCs w:val="20"/>
          <w:lang w:val="sr-Cyrl-RS"/>
        </w:rPr>
        <w:t xml:space="preserve">894.288,72 </w:t>
      </w:r>
      <w:r w:rsidR="001A4B1A">
        <w:rPr>
          <w:rFonts w:asciiTheme="minorHAnsi" w:hAnsiTheme="minorHAnsi"/>
          <w:color w:val="000000" w:themeColor="text1"/>
          <w:sz w:val="20"/>
          <w:szCs w:val="20"/>
          <w:lang w:val="sr-Cyrl-RS"/>
        </w:rPr>
        <w:t>КМ</w:t>
      </w:r>
      <w:r w:rsidR="00AD5361" w:rsidRPr="00D452DA">
        <w:rPr>
          <w:rFonts w:asciiTheme="minorHAnsi" w:hAnsiTheme="minorHAnsi"/>
          <w:color w:val="000000" w:themeColor="text1"/>
          <w:sz w:val="20"/>
          <w:szCs w:val="20"/>
          <w:lang w:val="sr-Cyrl-RS"/>
        </w:rPr>
        <w:t xml:space="preserve"> Гарантни фонд </w:t>
      </w:r>
      <w:r w:rsidR="00340CAF">
        <w:rPr>
          <w:rFonts w:asciiTheme="minorHAnsi" w:hAnsiTheme="minorHAnsi"/>
          <w:color w:val="000000" w:themeColor="text1"/>
          <w:sz w:val="20"/>
          <w:szCs w:val="20"/>
          <w:lang w:val="sr-Cyrl-RS"/>
        </w:rPr>
        <w:t xml:space="preserve">је </w:t>
      </w:r>
      <w:r w:rsidR="00AD5361" w:rsidRPr="00D452DA">
        <w:rPr>
          <w:rFonts w:asciiTheme="minorHAnsi" w:hAnsiTheme="minorHAnsi"/>
          <w:color w:val="000000" w:themeColor="text1"/>
          <w:sz w:val="20"/>
          <w:szCs w:val="20"/>
          <w:lang w:val="sr-Cyrl-RS"/>
        </w:rPr>
        <w:t xml:space="preserve">подржао пласман кредитних средстава у износу од </w:t>
      </w:r>
      <w:r w:rsidR="00D452DA" w:rsidRPr="00D452DA">
        <w:rPr>
          <w:rFonts w:asciiTheme="minorHAnsi" w:hAnsiTheme="minorHAnsi"/>
          <w:color w:val="000000" w:themeColor="text1"/>
          <w:sz w:val="20"/>
          <w:szCs w:val="20"/>
          <w:lang w:val="sr-Cyrl-RS"/>
        </w:rPr>
        <w:t>1.788.577,43</w:t>
      </w:r>
      <w:r w:rsidR="00AD5361" w:rsidRPr="00D452DA">
        <w:rPr>
          <w:rFonts w:asciiTheme="minorHAnsi" w:hAnsiTheme="minorHAnsi"/>
          <w:color w:val="000000" w:themeColor="text1"/>
          <w:sz w:val="20"/>
          <w:szCs w:val="20"/>
          <w:lang w:val="sr-Cyrl-RS"/>
        </w:rPr>
        <w:t xml:space="preserve"> КМ.</w:t>
      </w:r>
    </w:p>
    <w:p w:rsidR="00D452DA" w:rsidRDefault="00D452DA" w:rsidP="00D452DA">
      <w:pPr>
        <w:tabs>
          <w:tab w:val="left" w:pos="7381"/>
        </w:tabs>
        <w:autoSpaceDE w:val="0"/>
        <w:autoSpaceDN w:val="0"/>
        <w:adjustRightInd w:val="0"/>
        <w:rPr>
          <w:rFonts w:asciiTheme="minorHAnsi" w:hAnsiTheme="minorHAnsi"/>
          <w:color w:val="FF0000"/>
          <w:sz w:val="20"/>
          <w:szCs w:val="20"/>
          <w:lang w:val="sr-Cyrl-RS"/>
        </w:rPr>
      </w:pPr>
    </w:p>
    <w:p w:rsidR="004101DD" w:rsidRDefault="00340CAF" w:rsidP="00D452DA">
      <w:pPr>
        <w:tabs>
          <w:tab w:val="left" w:pos="7381"/>
        </w:tabs>
        <w:autoSpaceDE w:val="0"/>
        <w:autoSpaceDN w:val="0"/>
        <w:adjustRightInd w:val="0"/>
        <w:rPr>
          <w:rFonts w:asciiTheme="minorHAnsi" w:hAnsiTheme="minorHAnsi"/>
          <w:color w:val="auto"/>
          <w:sz w:val="20"/>
          <w:szCs w:val="20"/>
          <w:lang w:val="sr-Cyrl-RS"/>
        </w:rPr>
      </w:pPr>
      <w:r>
        <w:rPr>
          <w:rFonts w:asciiTheme="minorHAnsi" w:hAnsiTheme="minorHAnsi"/>
          <w:color w:val="auto"/>
          <w:sz w:val="20"/>
          <w:szCs w:val="20"/>
          <w:lang w:val="sr-Cyrl-RS"/>
        </w:rPr>
        <w:t>Иако је смањен обим</w:t>
      </w:r>
      <w:r w:rsidR="004101DD" w:rsidRPr="004101DD">
        <w:rPr>
          <w:rFonts w:asciiTheme="minorHAnsi" w:hAnsiTheme="minorHAnsi"/>
          <w:color w:val="auto"/>
          <w:sz w:val="20"/>
          <w:szCs w:val="20"/>
          <w:lang w:val="sr-Cyrl-RS"/>
        </w:rPr>
        <w:t xml:space="preserve"> активности у погледу издавања нових гаранција у оквиру редовних гарантних линија, још увијек постоји велики број активних гаранција из ове групе, те Гара</w:t>
      </w:r>
      <w:r w:rsidR="001A6ED0" w:rsidRPr="004101DD">
        <w:rPr>
          <w:rFonts w:asciiTheme="minorHAnsi" w:hAnsiTheme="minorHAnsi"/>
          <w:color w:val="auto"/>
          <w:sz w:val="20"/>
          <w:szCs w:val="20"/>
          <w:lang w:val="sr-Cyrl-RS"/>
        </w:rPr>
        <w:t>нт</w:t>
      </w:r>
      <w:r w:rsidR="00226538">
        <w:rPr>
          <w:rFonts w:asciiTheme="minorHAnsi" w:hAnsiTheme="minorHAnsi"/>
          <w:color w:val="auto"/>
          <w:sz w:val="20"/>
          <w:szCs w:val="20"/>
          <w:lang w:val="sr-Cyrl-RS"/>
        </w:rPr>
        <w:t>н</w:t>
      </w:r>
      <w:r w:rsidR="004101DD" w:rsidRPr="004101DD">
        <w:rPr>
          <w:rFonts w:asciiTheme="minorHAnsi" w:hAnsiTheme="minorHAnsi"/>
          <w:color w:val="auto"/>
          <w:sz w:val="20"/>
          <w:szCs w:val="20"/>
          <w:lang w:val="sr-Cyrl-RS"/>
        </w:rPr>
        <w:t>и фонд</w:t>
      </w:r>
      <w:r w:rsidR="001A6ED0" w:rsidRPr="004101DD">
        <w:rPr>
          <w:rFonts w:asciiTheme="minorHAnsi" w:hAnsiTheme="minorHAnsi"/>
          <w:color w:val="auto"/>
          <w:sz w:val="20"/>
          <w:szCs w:val="20"/>
          <w:lang w:val="sr-Cyrl-RS"/>
        </w:rPr>
        <w:t xml:space="preserve"> </w:t>
      </w:r>
      <w:r w:rsidR="004101DD" w:rsidRPr="004101DD">
        <w:rPr>
          <w:rFonts w:asciiTheme="minorHAnsi" w:hAnsiTheme="minorHAnsi"/>
          <w:color w:val="auto"/>
          <w:sz w:val="20"/>
          <w:szCs w:val="20"/>
          <w:lang w:val="sr-Cyrl-RS"/>
        </w:rPr>
        <w:t xml:space="preserve">наставља са редовним </w:t>
      </w:r>
      <w:r w:rsidR="001A6ED0" w:rsidRPr="004101DD">
        <w:rPr>
          <w:rFonts w:asciiTheme="minorHAnsi" w:hAnsiTheme="minorHAnsi"/>
          <w:color w:val="auto"/>
          <w:sz w:val="20"/>
          <w:szCs w:val="20"/>
          <w:lang w:val="sr-Cyrl-RS"/>
        </w:rPr>
        <w:t>мониторинг</w:t>
      </w:r>
      <w:r w:rsidR="00226538">
        <w:rPr>
          <w:rFonts w:asciiTheme="minorHAnsi" w:hAnsiTheme="minorHAnsi"/>
          <w:color w:val="auto"/>
          <w:sz w:val="20"/>
          <w:szCs w:val="20"/>
          <w:lang w:val="sr-Cyrl-RS"/>
        </w:rPr>
        <w:t>ом</w:t>
      </w:r>
      <w:r w:rsidR="001A6ED0" w:rsidRPr="004101DD">
        <w:rPr>
          <w:rFonts w:asciiTheme="minorHAnsi" w:hAnsiTheme="minorHAnsi"/>
          <w:color w:val="auto"/>
          <w:sz w:val="20"/>
          <w:szCs w:val="20"/>
          <w:lang w:val="sr-Cyrl-RS"/>
        </w:rPr>
        <w:t xml:space="preserve"> клијен</w:t>
      </w:r>
      <w:r w:rsidR="004101DD" w:rsidRPr="004101DD">
        <w:rPr>
          <w:rFonts w:asciiTheme="minorHAnsi" w:hAnsiTheme="minorHAnsi"/>
          <w:color w:val="auto"/>
          <w:sz w:val="20"/>
          <w:szCs w:val="20"/>
          <w:lang w:val="sr-Cyrl-RS"/>
        </w:rPr>
        <w:t>а</w:t>
      </w:r>
      <w:r w:rsidR="001A6ED0" w:rsidRPr="004101DD">
        <w:rPr>
          <w:rFonts w:asciiTheme="minorHAnsi" w:hAnsiTheme="minorHAnsi"/>
          <w:color w:val="auto"/>
          <w:sz w:val="20"/>
          <w:szCs w:val="20"/>
          <w:lang w:val="sr-Cyrl-RS"/>
        </w:rPr>
        <w:t>та</w:t>
      </w:r>
      <w:r>
        <w:rPr>
          <w:rFonts w:asciiTheme="minorHAnsi" w:hAnsiTheme="minorHAnsi"/>
          <w:color w:val="auto"/>
          <w:sz w:val="20"/>
          <w:szCs w:val="20"/>
          <w:lang w:val="sr-Cyrl-RS"/>
        </w:rPr>
        <w:t xml:space="preserve"> и </w:t>
      </w:r>
      <w:r w:rsidR="004101DD" w:rsidRPr="004101DD">
        <w:rPr>
          <w:rFonts w:asciiTheme="minorHAnsi" w:hAnsiTheme="minorHAnsi"/>
          <w:color w:val="auto"/>
          <w:sz w:val="20"/>
          <w:szCs w:val="20"/>
          <w:lang w:val="sr-Cyrl-RS"/>
        </w:rPr>
        <w:t>сви</w:t>
      </w:r>
      <w:r w:rsidR="00226538">
        <w:rPr>
          <w:rFonts w:asciiTheme="minorHAnsi" w:hAnsiTheme="minorHAnsi"/>
          <w:color w:val="auto"/>
          <w:sz w:val="20"/>
          <w:szCs w:val="20"/>
          <w:lang w:val="sr-Cyrl-RS"/>
        </w:rPr>
        <w:t>м</w:t>
      </w:r>
      <w:r w:rsidR="004101DD" w:rsidRPr="004101DD">
        <w:rPr>
          <w:rFonts w:asciiTheme="minorHAnsi" w:hAnsiTheme="minorHAnsi"/>
          <w:color w:val="auto"/>
          <w:sz w:val="20"/>
          <w:szCs w:val="20"/>
          <w:lang w:val="sr-Cyrl-RS"/>
        </w:rPr>
        <w:t xml:space="preserve"> остал</w:t>
      </w:r>
      <w:r w:rsidR="00226538">
        <w:rPr>
          <w:rFonts w:asciiTheme="minorHAnsi" w:hAnsiTheme="minorHAnsi"/>
          <w:color w:val="auto"/>
          <w:sz w:val="20"/>
          <w:szCs w:val="20"/>
          <w:lang w:val="sr-Cyrl-RS"/>
        </w:rPr>
        <w:t>им</w:t>
      </w:r>
      <w:r w:rsidR="004101DD" w:rsidRPr="004101DD">
        <w:rPr>
          <w:rFonts w:asciiTheme="minorHAnsi" w:hAnsiTheme="minorHAnsi"/>
          <w:color w:val="auto"/>
          <w:sz w:val="20"/>
          <w:szCs w:val="20"/>
          <w:lang w:val="sr-Cyrl-RS"/>
        </w:rPr>
        <w:t xml:space="preserve"> активности</w:t>
      </w:r>
      <w:r w:rsidR="00226538">
        <w:rPr>
          <w:rFonts w:asciiTheme="minorHAnsi" w:hAnsiTheme="minorHAnsi"/>
          <w:color w:val="auto"/>
          <w:sz w:val="20"/>
          <w:szCs w:val="20"/>
          <w:lang w:val="sr-Cyrl-RS"/>
        </w:rPr>
        <w:t>ма</w:t>
      </w:r>
      <w:r w:rsidR="004101DD" w:rsidRPr="004101DD">
        <w:rPr>
          <w:rFonts w:asciiTheme="minorHAnsi" w:hAnsiTheme="minorHAnsi"/>
          <w:color w:val="auto"/>
          <w:sz w:val="20"/>
          <w:szCs w:val="20"/>
          <w:lang w:val="sr-Cyrl-RS"/>
        </w:rPr>
        <w:t xml:space="preserve"> које се </w:t>
      </w:r>
      <w:r w:rsidR="00226538">
        <w:rPr>
          <w:rFonts w:asciiTheme="minorHAnsi" w:hAnsiTheme="minorHAnsi"/>
          <w:color w:val="auto"/>
          <w:sz w:val="20"/>
          <w:szCs w:val="20"/>
          <w:lang w:val="sr-Cyrl-RS"/>
        </w:rPr>
        <w:t>обављају</w:t>
      </w:r>
      <w:r w:rsidR="004101DD">
        <w:rPr>
          <w:rFonts w:asciiTheme="minorHAnsi" w:hAnsiTheme="minorHAnsi"/>
          <w:color w:val="auto"/>
          <w:sz w:val="20"/>
          <w:szCs w:val="20"/>
          <w:lang w:val="sr-Cyrl-RS"/>
        </w:rPr>
        <w:t xml:space="preserve"> током</w:t>
      </w:r>
      <w:r w:rsidR="004101DD" w:rsidRPr="004101DD">
        <w:rPr>
          <w:rFonts w:asciiTheme="minorHAnsi" w:hAnsiTheme="minorHAnsi"/>
          <w:color w:val="auto"/>
          <w:sz w:val="20"/>
          <w:szCs w:val="20"/>
          <w:lang w:val="sr-Cyrl-RS"/>
        </w:rPr>
        <w:t xml:space="preserve"> животног вијека гаранције</w:t>
      </w:r>
      <w:r w:rsidR="004101DD">
        <w:rPr>
          <w:rFonts w:asciiTheme="minorHAnsi" w:hAnsiTheme="minorHAnsi"/>
          <w:color w:val="auto"/>
          <w:sz w:val="20"/>
          <w:szCs w:val="20"/>
          <w:lang w:val="sr-Cyrl-RS"/>
        </w:rPr>
        <w:t>,</w:t>
      </w:r>
      <w:r w:rsidR="004101DD" w:rsidRPr="004101DD">
        <w:rPr>
          <w:rFonts w:asciiTheme="minorHAnsi" w:hAnsiTheme="minorHAnsi"/>
          <w:color w:val="auto"/>
          <w:sz w:val="20"/>
          <w:szCs w:val="20"/>
          <w:lang w:val="sr-Cyrl-RS"/>
        </w:rPr>
        <w:t xml:space="preserve"> од момента издавања до истека рока важења.</w:t>
      </w:r>
    </w:p>
    <w:p w:rsidR="00226538" w:rsidRDefault="00226538" w:rsidP="00D452DA">
      <w:pPr>
        <w:tabs>
          <w:tab w:val="left" w:pos="7381"/>
        </w:tabs>
        <w:autoSpaceDE w:val="0"/>
        <w:autoSpaceDN w:val="0"/>
        <w:adjustRightInd w:val="0"/>
        <w:rPr>
          <w:rFonts w:asciiTheme="minorHAnsi" w:hAnsiTheme="minorHAnsi"/>
          <w:color w:val="auto"/>
          <w:sz w:val="20"/>
          <w:szCs w:val="20"/>
          <w:lang w:val="sr-Cyrl-RS"/>
        </w:rPr>
      </w:pPr>
    </w:p>
    <w:p w:rsidR="00226538" w:rsidRDefault="00226538" w:rsidP="00D452DA">
      <w:pPr>
        <w:tabs>
          <w:tab w:val="left" w:pos="7381"/>
        </w:tabs>
        <w:autoSpaceDE w:val="0"/>
        <w:autoSpaceDN w:val="0"/>
        <w:adjustRightInd w:val="0"/>
        <w:rPr>
          <w:rFonts w:asciiTheme="minorHAnsi" w:hAnsiTheme="minorHAnsi"/>
          <w:color w:val="auto"/>
          <w:sz w:val="20"/>
          <w:szCs w:val="20"/>
          <w:lang w:val="sr-Cyrl-RS"/>
        </w:rPr>
      </w:pPr>
      <w:r>
        <w:rPr>
          <w:rFonts w:asciiTheme="minorHAnsi" w:hAnsiTheme="minorHAnsi"/>
          <w:color w:val="auto"/>
          <w:sz w:val="20"/>
          <w:szCs w:val="20"/>
          <w:lang w:val="sr-Cyrl-RS"/>
        </w:rPr>
        <w:t>Табеле 1 и 2 дају приказ гаранција које су током 2024. године стављене ван снаге, те гаранција које су током године плаћене у складу са захтјевом за плаћање од стране корисника гаранције.</w:t>
      </w:r>
    </w:p>
    <w:p w:rsidR="001A6ED0" w:rsidRPr="004101DD" w:rsidRDefault="004101DD" w:rsidP="00D452DA">
      <w:pPr>
        <w:tabs>
          <w:tab w:val="left" w:pos="7381"/>
        </w:tabs>
        <w:autoSpaceDE w:val="0"/>
        <w:autoSpaceDN w:val="0"/>
        <w:adjustRightInd w:val="0"/>
        <w:rPr>
          <w:rFonts w:asciiTheme="minorHAnsi" w:hAnsiTheme="minorHAnsi"/>
          <w:color w:val="auto"/>
          <w:sz w:val="20"/>
          <w:szCs w:val="20"/>
          <w:lang w:val="sr-Cyrl-RS"/>
        </w:rPr>
      </w:pPr>
      <w:r w:rsidRPr="004101DD">
        <w:rPr>
          <w:rFonts w:asciiTheme="minorHAnsi" w:hAnsiTheme="minorHAnsi"/>
          <w:color w:val="auto"/>
          <w:sz w:val="20"/>
          <w:szCs w:val="20"/>
          <w:lang w:val="sr-Cyrl-RS"/>
        </w:rPr>
        <w:t xml:space="preserve"> </w:t>
      </w:r>
      <w:r w:rsidR="001A6ED0" w:rsidRPr="004101DD">
        <w:rPr>
          <w:rFonts w:asciiTheme="minorHAnsi" w:hAnsiTheme="minorHAnsi"/>
          <w:color w:val="auto"/>
          <w:sz w:val="20"/>
          <w:szCs w:val="20"/>
          <w:lang w:val="sr-Cyrl-RS"/>
        </w:rPr>
        <w:t xml:space="preserve"> </w:t>
      </w:r>
    </w:p>
    <w:p w:rsidR="00340CAF" w:rsidRDefault="00340CAF"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340CAF" w:rsidRDefault="00340CAF"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077D9C" w:rsidRDefault="00077D9C"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077D9C" w:rsidRDefault="00077D9C"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077D9C" w:rsidRDefault="00077D9C"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340CAF" w:rsidRDefault="00340CAF"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340CAF" w:rsidRDefault="00340CAF"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340CAF" w:rsidRDefault="00340CAF"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340CAF" w:rsidRDefault="00340CAF" w:rsidP="001538EF">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1538EF" w:rsidRPr="00D452DA" w:rsidRDefault="001538EF" w:rsidP="001538EF">
      <w:pPr>
        <w:autoSpaceDE w:val="0"/>
        <w:autoSpaceDN w:val="0"/>
        <w:adjustRightInd w:val="0"/>
        <w:jc w:val="center"/>
        <w:rPr>
          <w:rFonts w:asciiTheme="minorHAnsi" w:eastAsiaTheme="minorHAnsi" w:hAnsiTheme="minorHAnsi"/>
          <w:b/>
          <w:bCs/>
          <w:color w:val="000000" w:themeColor="text1"/>
          <w:sz w:val="20"/>
          <w:szCs w:val="20"/>
          <w:lang w:val="sr-Latn-RS" w:eastAsia="en-US"/>
        </w:rPr>
      </w:pPr>
      <w:r w:rsidRPr="00D452DA">
        <w:rPr>
          <w:rFonts w:asciiTheme="minorHAnsi" w:eastAsiaTheme="minorHAnsi" w:hAnsiTheme="minorHAnsi"/>
          <w:b/>
          <w:bCs/>
          <w:color w:val="000000" w:themeColor="text1"/>
          <w:sz w:val="20"/>
          <w:szCs w:val="20"/>
          <w:lang w:val="sr-Latn-RS" w:eastAsia="en-US"/>
        </w:rPr>
        <w:lastRenderedPageBreak/>
        <w:t xml:space="preserve">Преглед </w:t>
      </w:r>
      <w:r w:rsidRPr="00D452DA">
        <w:rPr>
          <w:rFonts w:asciiTheme="minorHAnsi" w:eastAsiaTheme="minorHAnsi" w:hAnsiTheme="minorHAnsi"/>
          <w:b/>
          <w:bCs/>
          <w:color w:val="000000" w:themeColor="text1"/>
          <w:sz w:val="20"/>
          <w:szCs w:val="20"/>
          <w:lang w:val="sr-Cyrl-BA" w:eastAsia="en-US"/>
        </w:rPr>
        <w:t xml:space="preserve"> </w:t>
      </w:r>
      <w:r w:rsidRPr="00D452DA">
        <w:rPr>
          <w:rFonts w:asciiTheme="minorHAnsi" w:eastAsiaTheme="minorHAnsi" w:hAnsiTheme="minorHAnsi"/>
          <w:b/>
          <w:bCs/>
          <w:color w:val="000000" w:themeColor="text1"/>
          <w:sz w:val="20"/>
          <w:szCs w:val="20"/>
          <w:lang w:val="sr-Latn-RS" w:eastAsia="en-US"/>
        </w:rPr>
        <w:t xml:space="preserve">гаранција </w:t>
      </w:r>
      <w:r w:rsidRPr="00D452DA">
        <w:rPr>
          <w:rFonts w:asciiTheme="minorHAnsi" w:eastAsiaTheme="minorHAnsi" w:hAnsiTheme="minorHAnsi"/>
          <w:b/>
          <w:bCs/>
          <w:color w:val="000000" w:themeColor="text1"/>
          <w:sz w:val="20"/>
          <w:szCs w:val="20"/>
          <w:lang w:val="sr-Cyrl-BA" w:eastAsia="en-US"/>
        </w:rPr>
        <w:t>ван снаге</w:t>
      </w:r>
      <w:r w:rsidR="00153592" w:rsidRPr="00D452DA">
        <w:rPr>
          <w:rFonts w:asciiTheme="minorHAnsi" w:eastAsiaTheme="minorHAnsi" w:hAnsiTheme="minorHAnsi"/>
          <w:b/>
          <w:bCs/>
          <w:color w:val="000000" w:themeColor="text1"/>
          <w:sz w:val="20"/>
          <w:szCs w:val="20"/>
          <w:lang w:val="sr-Cyrl-BA" w:eastAsia="en-US"/>
        </w:rPr>
        <w:t xml:space="preserve"> у</w:t>
      </w:r>
      <w:r w:rsidR="002A1615" w:rsidRPr="00D452DA">
        <w:rPr>
          <w:rFonts w:asciiTheme="minorHAnsi" w:eastAsiaTheme="minorHAnsi" w:hAnsiTheme="minorHAnsi"/>
          <w:b/>
          <w:bCs/>
          <w:color w:val="000000" w:themeColor="text1"/>
          <w:sz w:val="20"/>
          <w:szCs w:val="20"/>
          <w:lang w:val="sr-Latn-RS" w:eastAsia="en-US"/>
        </w:rPr>
        <w:t xml:space="preserve"> период</w:t>
      </w:r>
      <w:r w:rsidR="00153592" w:rsidRPr="00D452DA">
        <w:rPr>
          <w:rFonts w:asciiTheme="minorHAnsi" w:eastAsiaTheme="minorHAnsi" w:hAnsiTheme="minorHAnsi"/>
          <w:b/>
          <w:bCs/>
          <w:color w:val="000000" w:themeColor="text1"/>
          <w:sz w:val="20"/>
          <w:szCs w:val="20"/>
          <w:lang w:val="sr-Cyrl-RS" w:eastAsia="en-US"/>
        </w:rPr>
        <w:t>у</w:t>
      </w:r>
      <w:r w:rsidR="002A1615" w:rsidRPr="00D452DA">
        <w:rPr>
          <w:rFonts w:asciiTheme="minorHAnsi" w:eastAsiaTheme="minorHAnsi" w:hAnsiTheme="minorHAnsi"/>
          <w:b/>
          <w:bCs/>
          <w:color w:val="000000" w:themeColor="text1"/>
          <w:sz w:val="20"/>
          <w:szCs w:val="20"/>
          <w:lang w:val="sr-Latn-RS" w:eastAsia="en-US"/>
        </w:rPr>
        <w:t xml:space="preserve"> 01.01.202</w:t>
      </w:r>
      <w:r w:rsidR="003426AA" w:rsidRPr="00D452DA">
        <w:rPr>
          <w:rFonts w:asciiTheme="minorHAnsi" w:eastAsiaTheme="minorHAnsi" w:hAnsiTheme="minorHAnsi"/>
          <w:b/>
          <w:bCs/>
          <w:color w:val="000000" w:themeColor="text1"/>
          <w:sz w:val="20"/>
          <w:szCs w:val="20"/>
          <w:lang w:val="sr-Cyrl-RS" w:eastAsia="en-US"/>
        </w:rPr>
        <w:t>4</w:t>
      </w:r>
      <w:r w:rsidRPr="00D452DA">
        <w:rPr>
          <w:rFonts w:asciiTheme="minorHAnsi" w:eastAsiaTheme="minorHAnsi" w:hAnsiTheme="minorHAnsi"/>
          <w:b/>
          <w:bCs/>
          <w:color w:val="000000" w:themeColor="text1"/>
          <w:sz w:val="20"/>
          <w:szCs w:val="20"/>
          <w:lang w:val="sr-Latn-RS" w:eastAsia="en-US"/>
        </w:rPr>
        <w:t>. - 31.12.202</w:t>
      </w:r>
      <w:r w:rsidR="003426AA" w:rsidRPr="00D452DA">
        <w:rPr>
          <w:rFonts w:asciiTheme="minorHAnsi" w:eastAsiaTheme="minorHAnsi" w:hAnsiTheme="minorHAnsi"/>
          <w:b/>
          <w:bCs/>
          <w:color w:val="000000" w:themeColor="text1"/>
          <w:sz w:val="20"/>
          <w:szCs w:val="20"/>
          <w:lang w:val="sr-Cyrl-RS" w:eastAsia="en-US"/>
        </w:rPr>
        <w:t>4</w:t>
      </w:r>
      <w:r w:rsidRPr="00D452DA">
        <w:rPr>
          <w:rFonts w:asciiTheme="minorHAnsi" w:eastAsiaTheme="minorHAnsi" w:hAnsiTheme="minorHAnsi"/>
          <w:b/>
          <w:bCs/>
          <w:color w:val="000000" w:themeColor="text1"/>
          <w:sz w:val="20"/>
          <w:szCs w:val="20"/>
          <w:lang w:val="sr-Latn-RS" w:eastAsia="en-US"/>
        </w:rPr>
        <w:t>. године</w:t>
      </w:r>
    </w:p>
    <w:p w:rsidR="001538EF" w:rsidRPr="003D7300" w:rsidRDefault="001538EF" w:rsidP="001538EF">
      <w:pPr>
        <w:autoSpaceDE w:val="0"/>
        <w:autoSpaceDN w:val="0"/>
        <w:adjustRightInd w:val="0"/>
        <w:jc w:val="center"/>
        <w:rPr>
          <w:rFonts w:asciiTheme="minorHAnsi" w:eastAsiaTheme="minorHAnsi" w:hAnsiTheme="minorHAnsi"/>
          <w:b/>
          <w:bCs/>
          <w:color w:val="FF0000"/>
          <w:sz w:val="20"/>
          <w:szCs w:val="20"/>
          <w:lang w:val="sr-Latn-RS" w:eastAsia="en-US"/>
        </w:rPr>
      </w:pPr>
    </w:p>
    <w:p w:rsidR="00847319" w:rsidRDefault="001538EF" w:rsidP="00847319">
      <w:pPr>
        <w:autoSpaceDE w:val="0"/>
        <w:autoSpaceDN w:val="0"/>
        <w:adjustRightInd w:val="0"/>
        <w:rPr>
          <w:rFonts w:asciiTheme="minorHAnsi" w:eastAsiaTheme="minorHAnsi" w:hAnsiTheme="minorHAnsi"/>
          <w:b/>
          <w:color w:val="000000" w:themeColor="text1"/>
          <w:sz w:val="20"/>
          <w:szCs w:val="20"/>
          <w:lang w:val="sr-Cyrl-BA" w:eastAsia="en-US"/>
        </w:rPr>
      </w:pP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847319">
        <w:rPr>
          <w:rFonts w:asciiTheme="minorHAnsi" w:eastAsiaTheme="minorHAnsi" w:hAnsiTheme="minorHAnsi"/>
          <w:color w:val="000000" w:themeColor="text1"/>
          <w:sz w:val="20"/>
          <w:szCs w:val="20"/>
          <w:lang w:val="sr-Cyrl-BA" w:eastAsia="en-US"/>
        </w:rPr>
        <w:t xml:space="preserve">       </w:t>
      </w:r>
      <w:r w:rsidR="001528EB" w:rsidRPr="00847319">
        <w:rPr>
          <w:rFonts w:asciiTheme="minorHAnsi" w:eastAsiaTheme="minorHAnsi" w:hAnsiTheme="minorHAnsi"/>
          <w:color w:val="000000" w:themeColor="text1"/>
          <w:sz w:val="20"/>
          <w:szCs w:val="20"/>
          <w:lang w:val="sr-Cyrl-BA" w:eastAsia="en-US"/>
        </w:rPr>
        <w:t xml:space="preserve">      </w:t>
      </w:r>
      <w:r w:rsidR="00C741B4" w:rsidRPr="00847319">
        <w:rPr>
          <w:rFonts w:asciiTheme="minorHAnsi" w:eastAsiaTheme="minorHAnsi" w:hAnsiTheme="minorHAnsi"/>
          <w:color w:val="000000" w:themeColor="text1"/>
          <w:sz w:val="20"/>
          <w:szCs w:val="20"/>
          <w:lang w:val="sr-Cyrl-BA" w:eastAsia="en-US"/>
        </w:rPr>
        <w:t xml:space="preserve">    </w:t>
      </w:r>
      <w:r w:rsidRPr="00847319">
        <w:rPr>
          <w:rFonts w:asciiTheme="minorHAnsi" w:eastAsiaTheme="minorHAnsi" w:hAnsiTheme="minorHAnsi"/>
          <w:color w:val="000000" w:themeColor="text1"/>
          <w:sz w:val="20"/>
          <w:szCs w:val="20"/>
          <w:lang w:val="sr-Cyrl-BA" w:eastAsia="en-US"/>
        </w:rPr>
        <w:t xml:space="preserve">   </w:t>
      </w:r>
      <w:r w:rsidR="00C741B4" w:rsidRPr="00847319">
        <w:rPr>
          <w:rFonts w:asciiTheme="minorHAnsi" w:eastAsiaTheme="minorHAnsi" w:hAnsiTheme="minorHAnsi"/>
          <w:b/>
          <w:color w:val="000000" w:themeColor="text1"/>
          <w:sz w:val="20"/>
          <w:szCs w:val="20"/>
          <w:lang w:val="sr-Cyrl-BA" w:eastAsia="en-US"/>
        </w:rPr>
        <w:t xml:space="preserve">Табела </w:t>
      </w:r>
      <w:r w:rsidR="003C7861">
        <w:rPr>
          <w:rFonts w:asciiTheme="minorHAnsi" w:eastAsiaTheme="minorHAnsi" w:hAnsiTheme="minorHAnsi"/>
          <w:b/>
          <w:color w:val="000000" w:themeColor="text1"/>
          <w:sz w:val="20"/>
          <w:szCs w:val="20"/>
          <w:lang w:val="sr-Cyrl-BA" w:eastAsia="en-US"/>
        </w:rPr>
        <w:t>1</w:t>
      </w:r>
    </w:p>
    <w:p w:rsidR="00894936" w:rsidRPr="003D7300" w:rsidRDefault="00894936" w:rsidP="00847319">
      <w:pPr>
        <w:autoSpaceDE w:val="0"/>
        <w:autoSpaceDN w:val="0"/>
        <w:adjustRightInd w:val="0"/>
        <w:rPr>
          <w:rFonts w:asciiTheme="minorHAnsi" w:eastAsiaTheme="minorHAnsi" w:hAnsiTheme="minorHAnsi"/>
          <w:color w:val="FF0000"/>
          <w:sz w:val="20"/>
          <w:szCs w:val="20"/>
          <w:lang w:val="sr-Cyrl-BA" w:eastAsia="en-US"/>
        </w:rPr>
      </w:pPr>
    </w:p>
    <w:tbl>
      <w:tblPr>
        <w:tblW w:w="8804" w:type="dxa"/>
        <w:tblInd w:w="93" w:type="dxa"/>
        <w:tblLook w:val="04A0" w:firstRow="1" w:lastRow="0" w:firstColumn="1" w:lastColumn="0" w:noHBand="0" w:noVBand="1"/>
      </w:tblPr>
      <w:tblGrid>
        <w:gridCol w:w="1080"/>
        <w:gridCol w:w="4038"/>
        <w:gridCol w:w="1701"/>
        <w:gridCol w:w="1985"/>
      </w:tblGrid>
      <w:tr w:rsidR="00847319" w:rsidRPr="00847319" w:rsidTr="00847319">
        <w:trPr>
          <w:trHeight w:val="510"/>
        </w:trPr>
        <w:tc>
          <w:tcPr>
            <w:tcW w:w="10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847319" w:rsidRPr="00847319" w:rsidRDefault="00847319" w:rsidP="00847319">
            <w:pPr>
              <w:jc w:val="center"/>
              <w:rPr>
                <w:rFonts w:asciiTheme="minorHAnsi" w:hAnsiTheme="minorHAnsi"/>
                <w:b/>
                <w:bCs/>
                <w:color w:val="auto"/>
                <w:sz w:val="18"/>
                <w:szCs w:val="18"/>
              </w:rPr>
            </w:pPr>
            <w:r w:rsidRPr="00847319">
              <w:rPr>
                <w:rFonts w:asciiTheme="minorHAnsi" w:hAnsiTheme="minorHAnsi"/>
                <w:b/>
                <w:bCs/>
                <w:color w:val="auto"/>
                <w:sz w:val="18"/>
                <w:szCs w:val="18"/>
              </w:rPr>
              <w:t>Редни број</w:t>
            </w:r>
          </w:p>
        </w:tc>
        <w:tc>
          <w:tcPr>
            <w:tcW w:w="4038" w:type="dxa"/>
            <w:tcBorders>
              <w:top w:val="single" w:sz="4" w:space="0" w:color="auto"/>
              <w:left w:val="nil"/>
              <w:bottom w:val="single" w:sz="4" w:space="0" w:color="auto"/>
              <w:right w:val="single" w:sz="4" w:space="0" w:color="auto"/>
            </w:tcBorders>
            <w:shd w:val="clear" w:color="000000" w:fill="8DB4E2"/>
            <w:vAlign w:val="center"/>
            <w:hideMark/>
          </w:tcPr>
          <w:p w:rsidR="00847319" w:rsidRPr="00847319" w:rsidRDefault="00847319" w:rsidP="00847319">
            <w:pPr>
              <w:jc w:val="center"/>
              <w:rPr>
                <w:rFonts w:asciiTheme="minorHAnsi" w:hAnsiTheme="minorHAnsi"/>
                <w:b/>
                <w:bCs/>
                <w:color w:val="auto"/>
                <w:sz w:val="18"/>
                <w:szCs w:val="18"/>
              </w:rPr>
            </w:pPr>
            <w:r w:rsidRPr="00847319">
              <w:rPr>
                <w:rFonts w:asciiTheme="minorHAnsi" w:hAnsiTheme="minorHAnsi"/>
                <w:b/>
                <w:bCs/>
                <w:color w:val="auto"/>
                <w:sz w:val="18"/>
                <w:szCs w:val="18"/>
              </w:rPr>
              <w:t>Налогодавац гаранције</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rsidR="00847319" w:rsidRPr="00847319" w:rsidRDefault="00847319" w:rsidP="00847319">
            <w:pPr>
              <w:jc w:val="center"/>
              <w:rPr>
                <w:rFonts w:asciiTheme="minorHAnsi" w:hAnsiTheme="minorHAnsi"/>
                <w:b/>
                <w:bCs/>
                <w:color w:val="auto"/>
                <w:sz w:val="18"/>
                <w:szCs w:val="18"/>
              </w:rPr>
            </w:pPr>
            <w:r w:rsidRPr="00847319">
              <w:rPr>
                <w:rFonts w:asciiTheme="minorHAnsi" w:hAnsiTheme="minorHAnsi"/>
                <w:b/>
                <w:bCs/>
                <w:color w:val="auto"/>
                <w:sz w:val="18"/>
                <w:szCs w:val="18"/>
              </w:rPr>
              <w:t>Износ кредита</w:t>
            </w:r>
          </w:p>
        </w:tc>
        <w:tc>
          <w:tcPr>
            <w:tcW w:w="1985" w:type="dxa"/>
            <w:tcBorders>
              <w:top w:val="single" w:sz="4" w:space="0" w:color="auto"/>
              <w:left w:val="nil"/>
              <w:bottom w:val="single" w:sz="4" w:space="0" w:color="auto"/>
              <w:right w:val="single" w:sz="4" w:space="0" w:color="auto"/>
            </w:tcBorders>
            <w:shd w:val="clear" w:color="000000" w:fill="8DB4E2"/>
            <w:vAlign w:val="center"/>
            <w:hideMark/>
          </w:tcPr>
          <w:p w:rsidR="00847319" w:rsidRPr="00847319" w:rsidRDefault="00847319" w:rsidP="00847319">
            <w:pPr>
              <w:jc w:val="center"/>
              <w:rPr>
                <w:rFonts w:asciiTheme="minorHAnsi" w:hAnsiTheme="minorHAnsi"/>
                <w:b/>
                <w:bCs/>
                <w:color w:val="auto"/>
                <w:sz w:val="18"/>
                <w:szCs w:val="18"/>
              </w:rPr>
            </w:pPr>
            <w:r w:rsidRPr="00847319">
              <w:rPr>
                <w:rFonts w:asciiTheme="minorHAnsi" w:hAnsiTheme="minorHAnsi"/>
                <w:b/>
                <w:bCs/>
                <w:color w:val="auto"/>
                <w:sz w:val="18"/>
                <w:szCs w:val="18"/>
              </w:rPr>
              <w:t>Износ гаранције</w:t>
            </w:r>
          </w:p>
        </w:tc>
      </w:tr>
      <w:tr w:rsidR="00847319" w:rsidRPr="00847319" w:rsidTr="00894936">
        <w:trPr>
          <w:trHeight w:val="331"/>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Gavrić Mihajlo</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w:t>
            </w:r>
          </w:p>
        </w:tc>
      </w:tr>
      <w:tr w:rsidR="00847319" w:rsidRPr="00847319" w:rsidTr="00894936">
        <w:trPr>
          <w:trHeight w:val="279"/>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JP Protivgradna preventiva RS a.d. Gradiška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5.000.000,00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1.400.000,00</w:t>
            </w:r>
          </w:p>
        </w:tc>
      </w:tr>
      <w:tr w:rsidR="00847319" w:rsidRPr="00847319" w:rsidTr="00847319">
        <w:trPr>
          <w:trHeight w:val="267"/>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3 .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ZR Farma Nikolić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210.000,00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105.000,00</w:t>
            </w:r>
          </w:p>
        </w:tc>
      </w:tr>
      <w:tr w:rsidR="00847319" w:rsidRPr="00847319" w:rsidTr="00847319">
        <w:trPr>
          <w:trHeight w:val="130"/>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4 .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Mahagoni d.o.o. Istočno Sarajevo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486.749,40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100.000,00</w:t>
            </w:r>
          </w:p>
        </w:tc>
      </w:tr>
      <w:tr w:rsidR="00847319" w:rsidRPr="00847319" w:rsidTr="00847319">
        <w:trPr>
          <w:trHeight w:val="259"/>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5 .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USZ Agape Mrkonjić Grad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100.000,00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6 .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Atom Company d.o.o. Srbac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550.000,00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275.000,00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7 .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Bomerc d.o.o. Gradiška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900.000,00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315.000,00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8 .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ZU </w:t>
            </w:r>
            <w:r w:rsidR="00894936">
              <w:rPr>
                <w:rFonts w:asciiTheme="minorHAnsi" w:hAnsiTheme="minorHAnsi"/>
                <w:color w:val="000000" w:themeColor="text1"/>
                <w:sz w:val="18"/>
                <w:szCs w:val="18"/>
              </w:rPr>
              <w:t>„</w:t>
            </w:r>
            <w:r w:rsidRPr="008A00FD">
              <w:rPr>
                <w:rFonts w:asciiTheme="minorHAnsi" w:hAnsiTheme="minorHAnsi"/>
                <w:color w:val="000000" w:themeColor="text1"/>
                <w:sz w:val="18"/>
                <w:szCs w:val="18"/>
              </w:rPr>
              <w:t xml:space="preserve">S </w:t>
            </w:r>
            <w:r w:rsidR="00894936">
              <w:rPr>
                <w:rFonts w:asciiTheme="minorHAnsi" w:hAnsiTheme="minorHAnsi"/>
                <w:color w:val="000000" w:themeColor="text1"/>
                <w:sz w:val="18"/>
                <w:szCs w:val="18"/>
              </w:rPr>
              <w:t>–</w:t>
            </w:r>
            <w:r w:rsidRPr="008A00FD">
              <w:rPr>
                <w:rFonts w:asciiTheme="minorHAnsi" w:hAnsiTheme="minorHAnsi"/>
                <w:color w:val="000000" w:themeColor="text1"/>
                <w:sz w:val="18"/>
                <w:szCs w:val="18"/>
              </w:rPr>
              <w:t>LAB</w:t>
            </w:r>
            <w:r w:rsidR="00894936">
              <w:rPr>
                <w:rFonts w:asciiTheme="minorHAnsi" w:hAnsiTheme="minorHAnsi"/>
                <w:color w:val="000000" w:themeColor="text1"/>
                <w:sz w:val="18"/>
                <w:szCs w:val="18"/>
              </w:rPr>
              <w:t>“</w:t>
            </w:r>
            <w:r w:rsidRPr="008A00FD">
              <w:rPr>
                <w:rFonts w:asciiTheme="minorHAnsi" w:hAnsiTheme="minorHAnsi"/>
                <w:color w:val="000000" w:themeColor="text1"/>
                <w:sz w:val="18"/>
                <w:szCs w:val="18"/>
              </w:rPr>
              <w:t xml:space="preserve"> Banjaluka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60.000,00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30.000,00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9 .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ZT KOMERC D.O.O. Prijedor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180.000,00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90.000,00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10 .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MAESTRO Slađana Mandić s.p.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11 .</w:t>
            </w:r>
          </w:p>
        </w:tc>
        <w:tc>
          <w:tcPr>
            <w:tcW w:w="4038" w:type="dxa"/>
            <w:tcBorders>
              <w:top w:val="nil"/>
              <w:left w:val="nil"/>
              <w:bottom w:val="single" w:sz="4" w:space="0" w:color="auto"/>
              <w:right w:val="nil"/>
            </w:tcBorders>
            <w:shd w:val="clear" w:color="000000" w:fill="FFFFFF"/>
            <w:hideMark/>
          </w:tcPr>
          <w:p w:rsidR="00847319" w:rsidRPr="008A00FD" w:rsidRDefault="00894936" w:rsidP="00847319">
            <w:pPr>
              <w:jc w:val="left"/>
              <w:rPr>
                <w:rFonts w:asciiTheme="minorHAnsi" w:hAnsiTheme="minorHAnsi"/>
                <w:color w:val="000000" w:themeColor="text1"/>
                <w:sz w:val="18"/>
                <w:szCs w:val="18"/>
              </w:rPr>
            </w:pPr>
            <w:r>
              <w:rPr>
                <w:rFonts w:asciiTheme="minorHAnsi" w:hAnsiTheme="minorHAnsi"/>
                <w:color w:val="000000" w:themeColor="text1"/>
                <w:sz w:val="18"/>
                <w:szCs w:val="18"/>
              </w:rPr>
              <w:t>„</w:t>
            </w:r>
            <w:r w:rsidR="00847319" w:rsidRPr="008A00FD">
              <w:rPr>
                <w:rFonts w:asciiTheme="minorHAnsi" w:hAnsiTheme="minorHAnsi"/>
                <w:color w:val="000000" w:themeColor="text1"/>
                <w:sz w:val="18"/>
                <w:szCs w:val="18"/>
              </w:rPr>
              <w:t>G-INVEST</w:t>
            </w:r>
            <w:r>
              <w:rPr>
                <w:rFonts w:asciiTheme="minorHAnsi" w:hAnsiTheme="minorHAnsi"/>
                <w:color w:val="000000" w:themeColor="text1"/>
                <w:sz w:val="18"/>
                <w:szCs w:val="18"/>
              </w:rPr>
              <w:t>“</w:t>
            </w:r>
            <w:r w:rsidR="00847319" w:rsidRPr="008A00FD">
              <w:rPr>
                <w:rFonts w:asciiTheme="minorHAnsi" w:hAnsiTheme="minorHAnsi"/>
                <w:color w:val="000000" w:themeColor="text1"/>
                <w:sz w:val="18"/>
                <w:szCs w:val="18"/>
              </w:rPr>
              <w:t xml:space="preserve"> d.o.o.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12 .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PARTNER  PRPTP, vl. Kovač Nikica  s.p.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120.000,00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36.000,00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13 .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Gradsko groblje JK ad Banja Luka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300.000,00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150.000,00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14 .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Sisma doo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15.000,00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15 .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ZU Health express Banja Luka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80.000,00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16 .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G&amp;Z TREJD doo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470.000,00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235.000,00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17 .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SAMARDŽIJA transport doo Laktaši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25.000,00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18 .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ZTR Servis Đurđić sp Sokolac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1.100.000,00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550.000,00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19 .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ŠUMIL d.o.o. Kozarska Dubica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20 .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Roki komerc d.o.o. Kozarska Dubica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21 .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Interlignum d.o.o. Teslić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22 .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PROMO SHOP DOO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700.000,00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349.930,00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23 .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Vitaminka a.d. Banja Luka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250.000,00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24 .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CASTELLINA SRPSKA d.o.o. Modriča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2.200.000,00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1.100.000,00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25 .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Agent ENEX</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500.000,00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250.000,00</w:t>
            </w:r>
          </w:p>
        </w:tc>
      </w:tr>
      <w:tr w:rsidR="00847319" w:rsidRPr="00847319" w:rsidTr="00847319">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26 .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Dejan Krivošić</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25.000,00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12.500,00</w:t>
            </w:r>
          </w:p>
        </w:tc>
      </w:tr>
      <w:tr w:rsidR="00847319" w:rsidRPr="00847319" w:rsidTr="00847319">
        <w:trPr>
          <w:trHeight w:val="258"/>
        </w:trPr>
        <w:tc>
          <w:tcPr>
            <w:tcW w:w="1080"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center"/>
              <w:rPr>
                <w:rFonts w:asciiTheme="minorHAnsi" w:hAnsiTheme="minorHAnsi"/>
                <w:color w:val="auto"/>
                <w:sz w:val="18"/>
                <w:szCs w:val="18"/>
              </w:rPr>
            </w:pPr>
            <w:r w:rsidRPr="00847319">
              <w:rPr>
                <w:rFonts w:asciiTheme="minorHAnsi" w:hAnsiTheme="minorHAnsi"/>
                <w:color w:val="auto"/>
                <w:sz w:val="18"/>
                <w:szCs w:val="18"/>
              </w:rPr>
              <w:t>27 .</w:t>
            </w:r>
          </w:p>
        </w:tc>
        <w:tc>
          <w:tcPr>
            <w:tcW w:w="4038" w:type="dxa"/>
            <w:tcBorders>
              <w:top w:val="nil"/>
              <w:left w:val="nil"/>
              <w:bottom w:val="single" w:sz="4" w:space="0" w:color="auto"/>
              <w:right w:val="nil"/>
            </w:tcBorders>
            <w:shd w:val="clear" w:color="000000" w:fill="FFFFFF"/>
            <w:hideMark/>
          </w:tcPr>
          <w:p w:rsidR="00847319" w:rsidRPr="008A00FD" w:rsidRDefault="00847319" w:rsidP="00847319">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NV Trade d.o.o. </w:t>
            </w:r>
          </w:p>
        </w:tc>
        <w:tc>
          <w:tcPr>
            <w:tcW w:w="1701" w:type="dxa"/>
            <w:tcBorders>
              <w:top w:val="nil"/>
              <w:left w:val="single" w:sz="4" w:space="0" w:color="auto"/>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400.000,00</w:t>
            </w:r>
          </w:p>
        </w:tc>
        <w:tc>
          <w:tcPr>
            <w:tcW w:w="1985" w:type="dxa"/>
            <w:tcBorders>
              <w:top w:val="nil"/>
              <w:left w:val="nil"/>
              <w:bottom w:val="single" w:sz="4" w:space="0" w:color="auto"/>
              <w:right w:val="single" w:sz="4" w:space="0" w:color="auto"/>
            </w:tcBorders>
            <w:shd w:val="clear" w:color="000000" w:fill="FFFFFF"/>
            <w:hideMark/>
          </w:tcPr>
          <w:p w:rsidR="00847319" w:rsidRPr="00847319" w:rsidRDefault="00847319" w:rsidP="00847319">
            <w:pPr>
              <w:jc w:val="right"/>
              <w:rPr>
                <w:rFonts w:asciiTheme="minorHAnsi" w:hAnsiTheme="minorHAnsi"/>
                <w:color w:val="auto"/>
                <w:sz w:val="18"/>
                <w:szCs w:val="18"/>
              </w:rPr>
            </w:pPr>
            <w:r w:rsidRPr="00847319">
              <w:rPr>
                <w:rFonts w:asciiTheme="minorHAnsi" w:hAnsiTheme="minorHAnsi"/>
                <w:color w:val="auto"/>
                <w:sz w:val="18"/>
                <w:szCs w:val="18"/>
              </w:rPr>
              <w:t>200.000,00</w:t>
            </w:r>
          </w:p>
        </w:tc>
      </w:tr>
      <w:tr w:rsidR="00847319" w:rsidRPr="00847319" w:rsidTr="00847319">
        <w:trPr>
          <w:trHeight w:val="315"/>
        </w:trPr>
        <w:tc>
          <w:tcPr>
            <w:tcW w:w="5118" w:type="dxa"/>
            <w:gridSpan w:val="2"/>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847319" w:rsidRPr="00847319" w:rsidRDefault="00847319" w:rsidP="00847319">
            <w:pPr>
              <w:jc w:val="center"/>
              <w:rPr>
                <w:rFonts w:asciiTheme="minorHAnsi" w:hAnsiTheme="minorHAnsi"/>
                <w:b/>
                <w:bCs/>
                <w:sz w:val="18"/>
                <w:szCs w:val="18"/>
              </w:rPr>
            </w:pPr>
            <w:r w:rsidRPr="00847319">
              <w:rPr>
                <w:rFonts w:asciiTheme="minorHAnsi" w:hAnsiTheme="minorHAnsi"/>
                <w:b/>
                <w:bCs/>
                <w:sz w:val="18"/>
                <w:szCs w:val="18"/>
              </w:rPr>
              <w:t>Укупно</w:t>
            </w:r>
          </w:p>
        </w:tc>
        <w:tc>
          <w:tcPr>
            <w:tcW w:w="1701" w:type="dxa"/>
            <w:tcBorders>
              <w:top w:val="nil"/>
              <w:left w:val="nil"/>
              <w:bottom w:val="single" w:sz="4" w:space="0" w:color="auto"/>
              <w:right w:val="single" w:sz="4" w:space="0" w:color="auto"/>
            </w:tcBorders>
            <w:shd w:val="clear" w:color="000000" w:fill="8DB4E2"/>
            <w:noWrap/>
            <w:vAlign w:val="bottom"/>
            <w:hideMark/>
          </w:tcPr>
          <w:p w:rsidR="00847319" w:rsidRPr="00847319" w:rsidRDefault="00847319" w:rsidP="00847319">
            <w:pPr>
              <w:jc w:val="right"/>
              <w:rPr>
                <w:rFonts w:asciiTheme="minorHAnsi" w:hAnsiTheme="minorHAnsi"/>
                <w:b/>
                <w:bCs/>
                <w:sz w:val="18"/>
                <w:szCs w:val="18"/>
              </w:rPr>
            </w:pPr>
            <w:r w:rsidRPr="00847319">
              <w:rPr>
                <w:rFonts w:asciiTheme="minorHAnsi" w:hAnsiTheme="minorHAnsi"/>
                <w:b/>
                <w:bCs/>
                <w:sz w:val="18"/>
                <w:szCs w:val="18"/>
              </w:rPr>
              <w:t>15.101.749,40</w:t>
            </w:r>
          </w:p>
        </w:tc>
        <w:tc>
          <w:tcPr>
            <w:tcW w:w="1985" w:type="dxa"/>
            <w:tcBorders>
              <w:top w:val="nil"/>
              <w:left w:val="nil"/>
              <w:bottom w:val="single" w:sz="4" w:space="0" w:color="auto"/>
              <w:right w:val="single" w:sz="4" w:space="0" w:color="auto"/>
            </w:tcBorders>
            <w:shd w:val="clear" w:color="000000" w:fill="8DB4E2"/>
            <w:noWrap/>
            <w:vAlign w:val="bottom"/>
            <w:hideMark/>
          </w:tcPr>
          <w:p w:rsidR="00847319" w:rsidRPr="00847319" w:rsidRDefault="00847319" w:rsidP="00847319">
            <w:pPr>
              <w:jc w:val="right"/>
              <w:rPr>
                <w:rFonts w:asciiTheme="minorHAnsi" w:hAnsiTheme="minorHAnsi"/>
                <w:b/>
                <w:bCs/>
                <w:sz w:val="18"/>
                <w:szCs w:val="18"/>
              </w:rPr>
            </w:pPr>
            <w:r w:rsidRPr="00847319">
              <w:rPr>
                <w:rFonts w:asciiTheme="minorHAnsi" w:hAnsiTheme="minorHAnsi"/>
                <w:b/>
                <w:bCs/>
                <w:sz w:val="18"/>
                <w:szCs w:val="18"/>
              </w:rPr>
              <w:t>6.138.430,00</w:t>
            </w:r>
          </w:p>
        </w:tc>
      </w:tr>
    </w:tbl>
    <w:p w:rsidR="00900F10" w:rsidRPr="003D7300" w:rsidRDefault="00900F10" w:rsidP="001538EF">
      <w:pPr>
        <w:rPr>
          <w:rFonts w:asciiTheme="minorHAnsi" w:eastAsiaTheme="minorHAnsi" w:hAnsiTheme="minorHAnsi"/>
          <w:color w:val="FF0000"/>
          <w:sz w:val="20"/>
          <w:szCs w:val="20"/>
          <w:lang w:val="sr-Cyrl-BA" w:eastAsia="en-US"/>
        </w:rPr>
      </w:pPr>
    </w:p>
    <w:p w:rsidR="001D6AF5" w:rsidRDefault="00892214" w:rsidP="001538EF">
      <w:pPr>
        <w:rPr>
          <w:rFonts w:asciiTheme="minorHAnsi" w:eastAsiaTheme="minorHAnsi" w:hAnsiTheme="minorHAnsi"/>
          <w:color w:val="000000" w:themeColor="text1"/>
          <w:sz w:val="20"/>
          <w:szCs w:val="20"/>
          <w:lang w:val="sr-Cyrl-BA" w:eastAsia="en-US"/>
        </w:rPr>
      </w:pPr>
      <w:r w:rsidRPr="004A1761">
        <w:rPr>
          <w:rFonts w:asciiTheme="minorHAnsi" w:eastAsiaTheme="minorHAnsi" w:hAnsiTheme="minorHAnsi"/>
          <w:color w:val="000000" w:themeColor="text1"/>
          <w:sz w:val="20"/>
          <w:szCs w:val="20"/>
          <w:lang w:val="sr-Cyrl-BA" w:eastAsia="en-US"/>
        </w:rPr>
        <w:t>Током 202</w:t>
      </w:r>
      <w:r w:rsidR="00D452DA" w:rsidRPr="004A1761">
        <w:rPr>
          <w:rFonts w:asciiTheme="minorHAnsi" w:eastAsiaTheme="minorHAnsi" w:hAnsiTheme="minorHAnsi"/>
          <w:color w:val="000000" w:themeColor="text1"/>
          <w:sz w:val="20"/>
          <w:szCs w:val="20"/>
          <w:lang w:val="sr-Cyrl-BA" w:eastAsia="en-US"/>
        </w:rPr>
        <w:t>4</w:t>
      </w:r>
      <w:r w:rsidR="001D6AF5" w:rsidRPr="004A1761">
        <w:rPr>
          <w:rFonts w:asciiTheme="minorHAnsi" w:eastAsiaTheme="minorHAnsi" w:hAnsiTheme="minorHAnsi"/>
          <w:color w:val="000000" w:themeColor="text1"/>
          <w:sz w:val="20"/>
          <w:szCs w:val="20"/>
          <w:lang w:val="sr-Cyrl-BA" w:eastAsia="en-US"/>
        </w:rPr>
        <w:t xml:space="preserve">. године, ван снаге </w:t>
      </w:r>
      <w:r w:rsidR="00847319" w:rsidRPr="004A1761">
        <w:rPr>
          <w:rFonts w:asciiTheme="minorHAnsi" w:eastAsiaTheme="minorHAnsi" w:hAnsiTheme="minorHAnsi"/>
          <w:color w:val="000000" w:themeColor="text1"/>
          <w:sz w:val="20"/>
          <w:szCs w:val="20"/>
          <w:lang w:val="sr-Cyrl-BA" w:eastAsia="en-US"/>
        </w:rPr>
        <w:t>је</w:t>
      </w:r>
      <w:r w:rsidR="0041746A" w:rsidRPr="004A1761">
        <w:rPr>
          <w:rFonts w:asciiTheme="minorHAnsi" w:eastAsiaTheme="minorHAnsi" w:hAnsiTheme="minorHAnsi"/>
          <w:color w:val="000000" w:themeColor="text1"/>
          <w:sz w:val="20"/>
          <w:szCs w:val="20"/>
          <w:lang w:val="sr-Cyrl-BA" w:eastAsia="en-US"/>
        </w:rPr>
        <w:t xml:space="preserve"> стављен</w:t>
      </w:r>
      <w:r w:rsidR="00847319" w:rsidRPr="004A1761">
        <w:rPr>
          <w:rFonts w:asciiTheme="minorHAnsi" w:eastAsiaTheme="minorHAnsi" w:hAnsiTheme="minorHAnsi"/>
          <w:color w:val="000000" w:themeColor="text1"/>
          <w:sz w:val="20"/>
          <w:szCs w:val="20"/>
          <w:lang w:val="sr-Cyrl-BA" w:eastAsia="en-US"/>
        </w:rPr>
        <w:t>о</w:t>
      </w:r>
      <w:r w:rsidR="0041746A" w:rsidRPr="004A1761">
        <w:rPr>
          <w:rFonts w:asciiTheme="minorHAnsi" w:eastAsiaTheme="minorHAnsi" w:hAnsiTheme="minorHAnsi"/>
          <w:color w:val="000000" w:themeColor="text1"/>
          <w:sz w:val="20"/>
          <w:szCs w:val="20"/>
          <w:lang w:val="sr-Cyrl-BA" w:eastAsia="en-US"/>
        </w:rPr>
        <w:t xml:space="preserve"> 2</w:t>
      </w:r>
      <w:r w:rsidR="00847319" w:rsidRPr="004A1761">
        <w:rPr>
          <w:rFonts w:asciiTheme="minorHAnsi" w:eastAsiaTheme="minorHAnsi" w:hAnsiTheme="minorHAnsi"/>
          <w:color w:val="000000" w:themeColor="text1"/>
          <w:sz w:val="20"/>
          <w:szCs w:val="20"/>
          <w:lang w:val="sr-Cyrl-BA" w:eastAsia="en-US"/>
        </w:rPr>
        <w:t>7</w:t>
      </w:r>
      <w:r w:rsidR="0041746A" w:rsidRPr="004A1761">
        <w:rPr>
          <w:rFonts w:asciiTheme="minorHAnsi" w:eastAsiaTheme="minorHAnsi" w:hAnsiTheme="minorHAnsi"/>
          <w:color w:val="000000" w:themeColor="text1"/>
          <w:sz w:val="20"/>
          <w:szCs w:val="20"/>
          <w:lang w:val="sr-Cyrl-BA" w:eastAsia="en-US"/>
        </w:rPr>
        <w:t xml:space="preserve"> гаранциј</w:t>
      </w:r>
      <w:r w:rsidR="00847319" w:rsidRPr="004A1761">
        <w:rPr>
          <w:rFonts w:asciiTheme="minorHAnsi" w:eastAsiaTheme="minorHAnsi" w:hAnsiTheme="minorHAnsi"/>
          <w:color w:val="000000" w:themeColor="text1"/>
          <w:sz w:val="20"/>
          <w:szCs w:val="20"/>
          <w:lang w:val="sr-Cyrl-BA" w:eastAsia="en-US"/>
        </w:rPr>
        <w:t>а,</w:t>
      </w:r>
      <w:r w:rsidR="0041746A" w:rsidRPr="004A1761">
        <w:rPr>
          <w:rFonts w:asciiTheme="minorHAnsi" w:eastAsiaTheme="minorHAnsi" w:hAnsiTheme="minorHAnsi"/>
          <w:color w:val="000000" w:themeColor="text1"/>
          <w:sz w:val="20"/>
          <w:szCs w:val="20"/>
          <w:lang w:val="sr-Cyrl-BA" w:eastAsia="en-US"/>
        </w:rPr>
        <w:t xml:space="preserve"> иницијално одобрен</w:t>
      </w:r>
      <w:r w:rsidR="00847319" w:rsidRPr="004A1761">
        <w:rPr>
          <w:rFonts w:asciiTheme="minorHAnsi" w:eastAsiaTheme="minorHAnsi" w:hAnsiTheme="minorHAnsi"/>
          <w:color w:val="000000" w:themeColor="text1"/>
          <w:sz w:val="20"/>
          <w:szCs w:val="20"/>
          <w:lang w:val="sr-Cyrl-BA" w:eastAsia="en-US"/>
        </w:rPr>
        <w:t>их</w:t>
      </w:r>
      <w:r w:rsidR="001D6AF5" w:rsidRPr="004A1761">
        <w:rPr>
          <w:rFonts w:asciiTheme="minorHAnsi" w:eastAsiaTheme="minorHAnsi" w:hAnsiTheme="minorHAnsi"/>
          <w:color w:val="000000" w:themeColor="text1"/>
          <w:sz w:val="20"/>
          <w:szCs w:val="20"/>
          <w:lang w:val="sr-Cyrl-BA" w:eastAsia="en-US"/>
        </w:rPr>
        <w:t xml:space="preserve"> у износу од </w:t>
      </w:r>
      <w:r w:rsidR="00900F10" w:rsidRPr="004A1761">
        <w:rPr>
          <w:rFonts w:asciiTheme="minorHAnsi" w:eastAsiaTheme="minorHAnsi" w:hAnsiTheme="minorHAnsi"/>
          <w:color w:val="000000" w:themeColor="text1"/>
          <w:sz w:val="20"/>
          <w:szCs w:val="20"/>
          <w:lang w:val="sr-Cyrl-BA" w:eastAsia="en-US"/>
        </w:rPr>
        <w:t>6.</w:t>
      </w:r>
      <w:r w:rsidR="00847319" w:rsidRPr="004A1761">
        <w:rPr>
          <w:rFonts w:asciiTheme="minorHAnsi" w:eastAsiaTheme="minorHAnsi" w:hAnsiTheme="minorHAnsi"/>
          <w:color w:val="000000" w:themeColor="text1"/>
          <w:sz w:val="20"/>
          <w:szCs w:val="20"/>
          <w:lang w:val="sr-Cyrl-BA" w:eastAsia="en-US"/>
        </w:rPr>
        <w:t>138.430</w:t>
      </w:r>
      <w:r w:rsidR="001D6AF5" w:rsidRPr="004A1761">
        <w:rPr>
          <w:rFonts w:asciiTheme="minorHAnsi" w:eastAsiaTheme="minorHAnsi" w:hAnsiTheme="minorHAnsi"/>
          <w:color w:val="000000" w:themeColor="text1"/>
          <w:sz w:val="20"/>
          <w:szCs w:val="20"/>
          <w:lang w:val="sr-Cyrl-BA" w:eastAsia="en-US"/>
        </w:rPr>
        <w:t>,00 КМ, чиме је подржан пласман 1</w:t>
      </w:r>
      <w:r w:rsidR="00900F10" w:rsidRPr="004A1761">
        <w:rPr>
          <w:rFonts w:asciiTheme="minorHAnsi" w:eastAsiaTheme="minorHAnsi" w:hAnsiTheme="minorHAnsi"/>
          <w:color w:val="000000" w:themeColor="text1"/>
          <w:sz w:val="20"/>
          <w:szCs w:val="20"/>
          <w:lang w:val="sr-Cyrl-BA" w:eastAsia="en-US"/>
        </w:rPr>
        <w:t>5</w:t>
      </w:r>
      <w:r w:rsidR="001D6AF5" w:rsidRPr="004A1761">
        <w:rPr>
          <w:rFonts w:asciiTheme="minorHAnsi" w:eastAsiaTheme="minorHAnsi" w:hAnsiTheme="minorHAnsi"/>
          <w:color w:val="000000" w:themeColor="text1"/>
          <w:sz w:val="20"/>
          <w:szCs w:val="20"/>
          <w:lang w:val="sr-Cyrl-BA" w:eastAsia="en-US"/>
        </w:rPr>
        <w:t>.</w:t>
      </w:r>
      <w:r w:rsidR="00847319" w:rsidRPr="004A1761">
        <w:rPr>
          <w:rFonts w:asciiTheme="minorHAnsi" w:eastAsiaTheme="minorHAnsi" w:hAnsiTheme="minorHAnsi"/>
          <w:color w:val="000000" w:themeColor="text1"/>
          <w:sz w:val="20"/>
          <w:szCs w:val="20"/>
          <w:lang w:val="sr-Cyrl-BA" w:eastAsia="en-US"/>
        </w:rPr>
        <w:t>101.749,40</w:t>
      </w:r>
      <w:r w:rsidR="001D6AF5" w:rsidRPr="004A1761">
        <w:rPr>
          <w:rFonts w:asciiTheme="minorHAnsi" w:eastAsiaTheme="minorHAnsi" w:hAnsiTheme="minorHAnsi"/>
          <w:color w:val="000000" w:themeColor="text1"/>
          <w:sz w:val="20"/>
          <w:szCs w:val="20"/>
          <w:lang w:val="sr-Cyrl-BA" w:eastAsia="en-US"/>
        </w:rPr>
        <w:t xml:space="preserve"> КМ кредитних средстава. Гара</w:t>
      </w:r>
      <w:r w:rsidR="00900F10" w:rsidRPr="004A1761">
        <w:rPr>
          <w:rFonts w:asciiTheme="minorHAnsi" w:eastAsiaTheme="minorHAnsi" w:hAnsiTheme="minorHAnsi"/>
          <w:color w:val="000000" w:themeColor="text1"/>
          <w:sz w:val="20"/>
          <w:szCs w:val="20"/>
          <w:lang w:val="sr-Cyrl-BA" w:eastAsia="en-US"/>
        </w:rPr>
        <w:t xml:space="preserve">нције су стављене ван снаге по </w:t>
      </w:r>
      <w:r w:rsidR="00847319" w:rsidRPr="004A1761">
        <w:rPr>
          <w:rFonts w:asciiTheme="minorHAnsi" w:eastAsiaTheme="minorHAnsi" w:hAnsiTheme="minorHAnsi"/>
          <w:color w:val="000000" w:themeColor="text1"/>
          <w:sz w:val="20"/>
          <w:szCs w:val="20"/>
          <w:lang w:val="sr-Cyrl-BA" w:eastAsia="en-US"/>
        </w:rPr>
        <w:t>2</w:t>
      </w:r>
      <w:r w:rsidR="001D6AF5" w:rsidRPr="004A1761">
        <w:rPr>
          <w:rFonts w:asciiTheme="minorHAnsi" w:eastAsiaTheme="minorHAnsi" w:hAnsiTheme="minorHAnsi"/>
          <w:color w:val="000000" w:themeColor="text1"/>
          <w:sz w:val="20"/>
          <w:szCs w:val="20"/>
          <w:lang w:val="sr-Cyrl-BA" w:eastAsia="en-US"/>
        </w:rPr>
        <w:t xml:space="preserve"> основа –</w:t>
      </w:r>
      <w:r w:rsidR="00900F10" w:rsidRPr="004A1761">
        <w:rPr>
          <w:rFonts w:asciiTheme="minorHAnsi" w:eastAsiaTheme="minorHAnsi" w:hAnsiTheme="minorHAnsi"/>
          <w:color w:val="000000" w:themeColor="text1"/>
          <w:sz w:val="20"/>
          <w:szCs w:val="20"/>
          <w:lang w:val="sr-Cyrl-BA" w:eastAsia="en-US"/>
        </w:rPr>
        <w:t xml:space="preserve"> редовним истеком рока важења</w:t>
      </w:r>
      <w:r w:rsidR="00847319" w:rsidRPr="004A1761">
        <w:rPr>
          <w:rFonts w:asciiTheme="minorHAnsi" w:eastAsiaTheme="minorHAnsi" w:hAnsiTheme="minorHAnsi"/>
          <w:color w:val="000000" w:themeColor="text1"/>
          <w:sz w:val="20"/>
          <w:szCs w:val="20"/>
          <w:lang w:val="sr-Cyrl-BA" w:eastAsia="en-US"/>
        </w:rPr>
        <w:t xml:space="preserve"> или</w:t>
      </w:r>
      <w:r w:rsidR="00900F10" w:rsidRPr="004A1761">
        <w:rPr>
          <w:rFonts w:asciiTheme="minorHAnsi" w:eastAsiaTheme="minorHAnsi" w:hAnsiTheme="minorHAnsi"/>
          <w:color w:val="000000" w:themeColor="text1"/>
          <w:sz w:val="20"/>
          <w:szCs w:val="20"/>
          <w:lang w:val="sr-Cyrl-BA" w:eastAsia="en-US"/>
        </w:rPr>
        <w:t xml:space="preserve"> </w:t>
      </w:r>
      <w:r w:rsidR="001D6AF5" w:rsidRPr="004A1761">
        <w:rPr>
          <w:rFonts w:asciiTheme="minorHAnsi" w:eastAsiaTheme="minorHAnsi" w:hAnsiTheme="minorHAnsi"/>
          <w:color w:val="000000" w:themeColor="text1"/>
          <w:sz w:val="20"/>
          <w:szCs w:val="20"/>
          <w:lang w:val="sr-Cyrl-BA" w:eastAsia="en-US"/>
        </w:rPr>
        <w:t>пријевременом отплатом од стране корисника кредита.</w:t>
      </w: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894936">
      <w:pPr>
        <w:pStyle w:val="ListParagraph"/>
        <w:numPr>
          <w:ilvl w:val="0"/>
          <w:numId w:val="29"/>
        </w:numPr>
        <w:rPr>
          <w:rFonts w:asciiTheme="minorHAnsi" w:eastAsiaTheme="minorHAnsi" w:hAnsiTheme="minorHAnsi"/>
          <w:color w:val="000000" w:themeColor="text1"/>
          <w:sz w:val="20"/>
          <w:szCs w:val="20"/>
          <w:lang w:val="sr-Cyrl-BA" w:eastAsia="en-US"/>
        </w:rPr>
      </w:pPr>
      <w:r>
        <w:rPr>
          <w:rFonts w:asciiTheme="minorHAnsi" w:eastAsiaTheme="minorHAnsi" w:hAnsiTheme="minorHAnsi"/>
          <w:color w:val="000000" w:themeColor="text1"/>
          <w:sz w:val="20"/>
          <w:szCs w:val="20"/>
          <w:lang w:val="sr-Cyrl-BA" w:eastAsia="en-US"/>
        </w:rPr>
        <w:t>Због истека рока важења, ван снаге је стављено 20 гаранција у износу од 4.593,500 КМ.</w:t>
      </w:r>
    </w:p>
    <w:p w:rsidR="00894936" w:rsidRPr="00894936" w:rsidRDefault="00894936" w:rsidP="00894936">
      <w:pPr>
        <w:pStyle w:val="ListParagraph"/>
        <w:numPr>
          <w:ilvl w:val="0"/>
          <w:numId w:val="29"/>
        </w:numPr>
        <w:rPr>
          <w:rFonts w:asciiTheme="minorHAnsi" w:eastAsiaTheme="minorHAnsi" w:hAnsiTheme="minorHAnsi"/>
          <w:color w:val="000000" w:themeColor="text1"/>
          <w:sz w:val="20"/>
          <w:szCs w:val="20"/>
          <w:lang w:val="sr-Cyrl-BA" w:eastAsia="en-US"/>
        </w:rPr>
      </w:pPr>
      <w:r>
        <w:rPr>
          <w:rFonts w:asciiTheme="minorHAnsi" w:eastAsiaTheme="minorHAnsi" w:hAnsiTheme="minorHAnsi"/>
          <w:color w:val="000000" w:themeColor="text1"/>
          <w:sz w:val="20"/>
          <w:szCs w:val="20"/>
          <w:lang w:val="sr-Cyrl-BA" w:eastAsia="en-US"/>
        </w:rPr>
        <w:t>Због пријевремене оптлате, ван снаге је стављено 7 гаранција у износу од 1.544.930,00 КМ</w:t>
      </w: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894936" w:rsidRDefault="00894936" w:rsidP="001538EF">
      <w:pPr>
        <w:rPr>
          <w:rFonts w:asciiTheme="minorHAnsi" w:eastAsiaTheme="minorHAnsi" w:hAnsiTheme="minorHAnsi"/>
          <w:color w:val="000000" w:themeColor="text1"/>
          <w:sz w:val="20"/>
          <w:szCs w:val="20"/>
          <w:lang w:val="sr-Cyrl-BA" w:eastAsia="en-US"/>
        </w:rPr>
      </w:pPr>
    </w:p>
    <w:p w:rsidR="00444987" w:rsidRPr="00D452DA" w:rsidRDefault="00444987" w:rsidP="00D452DA">
      <w:pPr>
        <w:autoSpaceDE w:val="0"/>
        <w:autoSpaceDN w:val="0"/>
        <w:adjustRightInd w:val="0"/>
        <w:rPr>
          <w:rFonts w:asciiTheme="minorHAnsi" w:eastAsiaTheme="minorHAnsi" w:hAnsiTheme="minorHAnsi"/>
          <w:color w:val="FF0000"/>
          <w:sz w:val="20"/>
          <w:szCs w:val="20"/>
          <w:lang w:val="sr-Cyrl-RS" w:eastAsia="en-US"/>
        </w:rPr>
      </w:pPr>
    </w:p>
    <w:p w:rsidR="001538EF" w:rsidRPr="00847319" w:rsidRDefault="001538EF" w:rsidP="00444987">
      <w:pPr>
        <w:autoSpaceDE w:val="0"/>
        <w:autoSpaceDN w:val="0"/>
        <w:adjustRightInd w:val="0"/>
        <w:jc w:val="center"/>
        <w:rPr>
          <w:rFonts w:asciiTheme="minorHAnsi" w:eastAsiaTheme="minorHAnsi" w:hAnsiTheme="minorHAnsi"/>
          <w:b/>
          <w:bCs/>
          <w:color w:val="000000" w:themeColor="text1"/>
          <w:sz w:val="20"/>
          <w:szCs w:val="20"/>
          <w:lang w:val="sr-Cyrl-RS" w:eastAsia="en-US"/>
        </w:rPr>
      </w:pPr>
      <w:r w:rsidRPr="00847319">
        <w:rPr>
          <w:rFonts w:asciiTheme="minorHAnsi" w:eastAsiaTheme="minorHAnsi" w:hAnsiTheme="minorHAnsi"/>
          <w:b/>
          <w:bCs/>
          <w:color w:val="000000" w:themeColor="text1"/>
          <w:sz w:val="20"/>
          <w:szCs w:val="20"/>
          <w:lang w:val="sr-Latn-RS" w:eastAsia="en-US"/>
        </w:rPr>
        <w:t xml:space="preserve">Преглед </w:t>
      </w:r>
      <w:r w:rsidRPr="00847319">
        <w:rPr>
          <w:rFonts w:asciiTheme="minorHAnsi" w:eastAsiaTheme="minorHAnsi" w:hAnsiTheme="minorHAnsi"/>
          <w:b/>
          <w:bCs/>
          <w:color w:val="000000" w:themeColor="text1"/>
          <w:sz w:val="20"/>
          <w:szCs w:val="20"/>
          <w:lang w:val="sr-Cyrl-BA" w:eastAsia="en-US"/>
        </w:rPr>
        <w:t xml:space="preserve"> </w:t>
      </w:r>
      <w:r w:rsidR="00CF1455">
        <w:rPr>
          <w:rFonts w:asciiTheme="minorHAnsi" w:eastAsiaTheme="minorHAnsi" w:hAnsiTheme="minorHAnsi"/>
          <w:b/>
          <w:bCs/>
          <w:color w:val="000000" w:themeColor="text1"/>
          <w:sz w:val="20"/>
          <w:szCs w:val="20"/>
          <w:lang w:val="sr-Cyrl-BA" w:eastAsia="en-US"/>
        </w:rPr>
        <w:t>плаћених</w:t>
      </w:r>
      <w:r w:rsidRPr="00847319">
        <w:rPr>
          <w:rFonts w:asciiTheme="minorHAnsi" w:eastAsiaTheme="minorHAnsi" w:hAnsiTheme="minorHAnsi"/>
          <w:b/>
          <w:bCs/>
          <w:color w:val="000000" w:themeColor="text1"/>
          <w:sz w:val="20"/>
          <w:szCs w:val="20"/>
          <w:lang w:val="sr-Cyrl-BA" w:eastAsia="en-US"/>
        </w:rPr>
        <w:t xml:space="preserve"> </w:t>
      </w:r>
      <w:r w:rsidRPr="00847319">
        <w:rPr>
          <w:rFonts w:asciiTheme="minorHAnsi" w:eastAsiaTheme="minorHAnsi" w:hAnsiTheme="minorHAnsi"/>
          <w:b/>
          <w:bCs/>
          <w:color w:val="000000" w:themeColor="text1"/>
          <w:sz w:val="20"/>
          <w:szCs w:val="20"/>
          <w:lang w:val="sr-Latn-RS" w:eastAsia="en-US"/>
        </w:rPr>
        <w:t xml:space="preserve">гаранција </w:t>
      </w:r>
      <w:r w:rsidR="00153592" w:rsidRPr="00847319">
        <w:rPr>
          <w:rFonts w:asciiTheme="minorHAnsi" w:eastAsiaTheme="minorHAnsi" w:hAnsiTheme="minorHAnsi"/>
          <w:b/>
          <w:bCs/>
          <w:color w:val="000000" w:themeColor="text1"/>
          <w:sz w:val="20"/>
          <w:szCs w:val="20"/>
          <w:lang w:val="sr-Cyrl-RS" w:eastAsia="en-US"/>
        </w:rPr>
        <w:t>у</w:t>
      </w:r>
      <w:r w:rsidRPr="00847319">
        <w:rPr>
          <w:rFonts w:asciiTheme="minorHAnsi" w:eastAsiaTheme="minorHAnsi" w:hAnsiTheme="minorHAnsi"/>
          <w:b/>
          <w:bCs/>
          <w:color w:val="000000" w:themeColor="text1"/>
          <w:sz w:val="20"/>
          <w:szCs w:val="20"/>
          <w:lang w:val="sr-Latn-RS" w:eastAsia="en-US"/>
        </w:rPr>
        <w:t xml:space="preserve"> период</w:t>
      </w:r>
      <w:r w:rsidR="00153592" w:rsidRPr="00847319">
        <w:rPr>
          <w:rFonts w:asciiTheme="minorHAnsi" w:eastAsiaTheme="minorHAnsi" w:hAnsiTheme="minorHAnsi"/>
          <w:b/>
          <w:bCs/>
          <w:color w:val="000000" w:themeColor="text1"/>
          <w:sz w:val="20"/>
          <w:szCs w:val="20"/>
          <w:lang w:val="sr-Cyrl-RS" w:eastAsia="en-US"/>
        </w:rPr>
        <w:t>у</w:t>
      </w:r>
      <w:r w:rsidRPr="00847319">
        <w:rPr>
          <w:rFonts w:asciiTheme="minorHAnsi" w:eastAsiaTheme="minorHAnsi" w:hAnsiTheme="minorHAnsi"/>
          <w:b/>
          <w:bCs/>
          <w:color w:val="000000" w:themeColor="text1"/>
          <w:sz w:val="20"/>
          <w:szCs w:val="20"/>
          <w:lang w:val="sr-Latn-RS" w:eastAsia="en-US"/>
        </w:rPr>
        <w:t xml:space="preserve"> 01.01.202</w:t>
      </w:r>
      <w:r w:rsidR="008B5A35" w:rsidRPr="00847319">
        <w:rPr>
          <w:rFonts w:asciiTheme="minorHAnsi" w:eastAsiaTheme="minorHAnsi" w:hAnsiTheme="minorHAnsi"/>
          <w:b/>
          <w:bCs/>
          <w:color w:val="000000" w:themeColor="text1"/>
          <w:sz w:val="20"/>
          <w:szCs w:val="20"/>
          <w:lang w:eastAsia="en-US"/>
        </w:rPr>
        <w:t>4</w:t>
      </w:r>
      <w:r w:rsidRPr="00847319">
        <w:rPr>
          <w:rFonts w:asciiTheme="minorHAnsi" w:eastAsiaTheme="minorHAnsi" w:hAnsiTheme="minorHAnsi"/>
          <w:b/>
          <w:bCs/>
          <w:color w:val="000000" w:themeColor="text1"/>
          <w:sz w:val="20"/>
          <w:szCs w:val="20"/>
          <w:lang w:val="sr-Latn-RS" w:eastAsia="en-US"/>
        </w:rPr>
        <w:t>. - 31.12.202</w:t>
      </w:r>
      <w:r w:rsidR="008B5A35" w:rsidRPr="00847319">
        <w:rPr>
          <w:rFonts w:asciiTheme="minorHAnsi" w:eastAsiaTheme="minorHAnsi" w:hAnsiTheme="minorHAnsi"/>
          <w:b/>
          <w:bCs/>
          <w:color w:val="000000" w:themeColor="text1"/>
          <w:sz w:val="20"/>
          <w:szCs w:val="20"/>
          <w:lang w:eastAsia="en-US"/>
        </w:rPr>
        <w:t>4</w:t>
      </w:r>
      <w:r w:rsidRPr="00847319">
        <w:rPr>
          <w:rFonts w:asciiTheme="minorHAnsi" w:eastAsiaTheme="minorHAnsi" w:hAnsiTheme="minorHAnsi"/>
          <w:b/>
          <w:bCs/>
          <w:color w:val="000000" w:themeColor="text1"/>
          <w:sz w:val="20"/>
          <w:szCs w:val="20"/>
          <w:lang w:val="sr-Latn-RS" w:eastAsia="en-US"/>
        </w:rPr>
        <w:t>. године</w:t>
      </w:r>
    </w:p>
    <w:p w:rsidR="001538EF" w:rsidRPr="00847319" w:rsidRDefault="001538EF" w:rsidP="001538EF">
      <w:pPr>
        <w:autoSpaceDE w:val="0"/>
        <w:autoSpaceDN w:val="0"/>
        <w:adjustRightInd w:val="0"/>
        <w:rPr>
          <w:rFonts w:asciiTheme="minorHAnsi" w:eastAsiaTheme="minorHAnsi" w:hAnsiTheme="minorHAnsi"/>
          <w:b/>
          <w:color w:val="000000" w:themeColor="text1"/>
          <w:sz w:val="20"/>
          <w:szCs w:val="20"/>
          <w:lang w:val="sr-Cyrl-BA" w:eastAsia="en-US"/>
        </w:rPr>
      </w:pP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001528EB" w:rsidRPr="00847319">
        <w:rPr>
          <w:rFonts w:asciiTheme="minorHAnsi" w:eastAsiaTheme="minorHAnsi" w:hAnsiTheme="minorHAnsi"/>
          <w:color w:val="000000" w:themeColor="text1"/>
          <w:sz w:val="20"/>
          <w:szCs w:val="20"/>
          <w:lang w:val="sr-Cyrl-RS" w:eastAsia="en-US"/>
        </w:rPr>
        <w:t xml:space="preserve">    </w:t>
      </w:r>
      <w:r w:rsidR="00A3442E" w:rsidRPr="00847319">
        <w:rPr>
          <w:rFonts w:asciiTheme="minorHAnsi" w:eastAsiaTheme="minorHAnsi" w:hAnsiTheme="minorHAnsi"/>
          <w:b/>
          <w:color w:val="000000" w:themeColor="text1"/>
          <w:sz w:val="20"/>
          <w:szCs w:val="20"/>
          <w:lang w:val="sr-Cyrl-BA" w:eastAsia="en-US"/>
        </w:rPr>
        <w:t xml:space="preserve">Табела </w:t>
      </w:r>
      <w:r w:rsidR="00226538">
        <w:rPr>
          <w:rFonts w:asciiTheme="minorHAnsi" w:eastAsiaTheme="minorHAnsi" w:hAnsiTheme="minorHAnsi"/>
          <w:b/>
          <w:color w:val="000000" w:themeColor="text1"/>
          <w:sz w:val="20"/>
          <w:szCs w:val="20"/>
          <w:lang w:val="sr-Cyrl-BA" w:eastAsia="en-US"/>
        </w:rPr>
        <w:t>2</w:t>
      </w:r>
    </w:p>
    <w:tbl>
      <w:tblPr>
        <w:tblpPr w:leftFromText="180" w:rightFromText="180" w:vertAnchor="text" w:horzAnchor="margin" w:tblpY="104"/>
        <w:tblW w:w="8897" w:type="dxa"/>
        <w:tblLayout w:type="fixed"/>
        <w:tblLook w:val="04A0" w:firstRow="1" w:lastRow="0" w:firstColumn="1" w:lastColumn="0" w:noHBand="0" w:noVBand="1"/>
      </w:tblPr>
      <w:tblGrid>
        <w:gridCol w:w="392"/>
        <w:gridCol w:w="1701"/>
        <w:gridCol w:w="1984"/>
        <w:gridCol w:w="1276"/>
        <w:gridCol w:w="1276"/>
        <w:gridCol w:w="1276"/>
        <w:gridCol w:w="992"/>
      </w:tblGrid>
      <w:tr w:rsidR="00794573" w:rsidRPr="00794573" w:rsidTr="00794573">
        <w:trPr>
          <w:trHeight w:val="1110"/>
        </w:trPr>
        <w:tc>
          <w:tcPr>
            <w:tcW w:w="392"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794573" w:rsidRPr="00794573" w:rsidRDefault="00794573" w:rsidP="00794573">
            <w:pPr>
              <w:ind w:left="-142" w:right="-108"/>
              <w:jc w:val="left"/>
              <w:rPr>
                <w:rFonts w:ascii="Calibri" w:hAnsi="Calibri"/>
                <w:b/>
                <w:bCs/>
                <w:sz w:val="18"/>
                <w:szCs w:val="18"/>
              </w:rPr>
            </w:pPr>
            <w:r w:rsidRPr="00794573">
              <w:rPr>
                <w:rFonts w:ascii="Calibri" w:hAnsi="Calibri"/>
                <w:b/>
                <w:bCs/>
                <w:sz w:val="18"/>
                <w:szCs w:val="18"/>
                <w:lang w:val="sr-Cyrl-RS"/>
              </w:rPr>
              <w:t>Ред бр.</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794573" w:rsidRPr="00794573" w:rsidRDefault="00794573" w:rsidP="00794573">
            <w:pPr>
              <w:jc w:val="left"/>
              <w:rPr>
                <w:rFonts w:ascii="Calibri" w:hAnsi="Calibri"/>
                <w:b/>
                <w:bCs/>
                <w:sz w:val="18"/>
                <w:szCs w:val="18"/>
              </w:rPr>
            </w:pPr>
            <w:r w:rsidRPr="00794573">
              <w:rPr>
                <w:rFonts w:ascii="Calibri" w:hAnsi="Calibri"/>
                <w:b/>
                <w:bCs/>
                <w:sz w:val="18"/>
                <w:szCs w:val="18"/>
                <w:lang w:val="sr-Latn-RS"/>
              </w:rPr>
              <w:t>Налогодавац гаранције</w:t>
            </w:r>
          </w:p>
        </w:tc>
        <w:tc>
          <w:tcPr>
            <w:tcW w:w="1984" w:type="dxa"/>
            <w:tcBorders>
              <w:top w:val="single" w:sz="4" w:space="0" w:color="auto"/>
              <w:left w:val="nil"/>
              <w:bottom w:val="single" w:sz="4" w:space="0" w:color="auto"/>
              <w:right w:val="single" w:sz="4" w:space="0" w:color="auto"/>
            </w:tcBorders>
            <w:shd w:val="clear" w:color="000000" w:fill="8DB3E2"/>
            <w:vAlign w:val="center"/>
            <w:hideMark/>
          </w:tcPr>
          <w:p w:rsidR="00794573" w:rsidRPr="00794573" w:rsidRDefault="00794573" w:rsidP="00794573">
            <w:pPr>
              <w:jc w:val="left"/>
              <w:rPr>
                <w:rFonts w:ascii="Calibri" w:hAnsi="Calibri"/>
                <w:b/>
                <w:bCs/>
                <w:sz w:val="18"/>
                <w:szCs w:val="18"/>
              </w:rPr>
            </w:pPr>
            <w:r w:rsidRPr="00794573">
              <w:rPr>
                <w:rFonts w:ascii="Calibri" w:hAnsi="Calibri"/>
                <w:b/>
                <w:bCs/>
                <w:sz w:val="18"/>
                <w:szCs w:val="18"/>
              </w:rPr>
              <w:t>Корисник гаранције</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794573" w:rsidRPr="00794573" w:rsidRDefault="00794573" w:rsidP="00794573">
            <w:pPr>
              <w:jc w:val="center"/>
              <w:rPr>
                <w:rFonts w:ascii="Calibri" w:hAnsi="Calibri"/>
                <w:b/>
                <w:bCs/>
                <w:sz w:val="18"/>
                <w:szCs w:val="18"/>
              </w:rPr>
            </w:pPr>
            <w:r w:rsidRPr="00794573">
              <w:rPr>
                <w:rFonts w:ascii="Calibri" w:hAnsi="Calibri"/>
                <w:b/>
                <w:bCs/>
                <w:sz w:val="18"/>
                <w:szCs w:val="18"/>
                <w:lang w:val="sr-Latn-RS"/>
              </w:rPr>
              <w:t>Износ Кредита/ Износ гарантованог ануитета</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794573" w:rsidRPr="00794573" w:rsidRDefault="00794573" w:rsidP="00794573">
            <w:pPr>
              <w:jc w:val="center"/>
              <w:rPr>
                <w:rFonts w:ascii="Calibri" w:hAnsi="Calibri"/>
                <w:b/>
                <w:bCs/>
                <w:sz w:val="18"/>
                <w:szCs w:val="18"/>
              </w:rPr>
            </w:pPr>
            <w:r w:rsidRPr="00794573">
              <w:rPr>
                <w:rFonts w:ascii="Calibri" w:hAnsi="Calibri"/>
                <w:b/>
                <w:bCs/>
                <w:sz w:val="18"/>
                <w:szCs w:val="18"/>
                <w:lang w:val="sr-Cyrl-RS"/>
              </w:rPr>
              <w:t>Номинални износ гаранције</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794573" w:rsidRPr="00794573" w:rsidRDefault="00794573" w:rsidP="00794573">
            <w:pPr>
              <w:jc w:val="center"/>
              <w:rPr>
                <w:rFonts w:ascii="Calibri" w:hAnsi="Calibri"/>
                <w:b/>
                <w:bCs/>
                <w:sz w:val="18"/>
                <w:szCs w:val="18"/>
              </w:rPr>
            </w:pPr>
            <w:r w:rsidRPr="00794573">
              <w:rPr>
                <w:rFonts w:ascii="Calibri" w:hAnsi="Calibri"/>
                <w:b/>
                <w:bCs/>
                <w:sz w:val="18"/>
                <w:szCs w:val="18"/>
                <w:lang w:val="sr-Cyrl-RS"/>
              </w:rPr>
              <w:t>Протестовани износ гаранције</w:t>
            </w:r>
          </w:p>
        </w:tc>
        <w:tc>
          <w:tcPr>
            <w:tcW w:w="992" w:type="dxa"/>
            <w:tcBorders>
              <w:top w:val="single" w:sz="4" w:space="0" w:color="auto"/>
              <w:left w:val="nil"/>
              <w:bottom w:val="single" w:sz="4" w:space="0" w:color="auto"/>
              <w:right w:val="single" w:sz="4" w:space="0" w:color="auto"/>
            </w:tcBorders>
            <w:shd w:val="clear" w:color="000000" w:fill="8DB3E2"/>
            <w:vAlign w:val="center"/>
            <w:hideMark/>
          </w:tcPr>
          <w:p w:rsidR="00794573" w:rsidRPr="00794573" w:rsidRDefault="00794573" w:rsidP="00794573">
            <w:pPr>
              <w:ind w:right="-108"/>
              <w:jc w:val="center"/>
              <w:rPr>
                <w:rFonts w:ascii="Calibri" w:hAnsi="Calibri"/>
                <w:b/>
                <w:bCs/>
                <w:sz w:val="18"/>
                <w:szCs w:val="18"/>
              </w:rPr>
            </w:pPr>
            <w:r w:rsidRPr="00794573">
              <w:rPr>
                <w:rFonts w:ascii="Calibri" w:hAnsi="Calibri"/>
                <w:b/>
                <w:bCs/>
                <w:sz w:val="18"/>
                <w:szCs w:val="18"/>
                <w:lang w:val="sr-Cyrl-RS"/>
              </w:rPr>
              <w:t>Плаћени износ гаранције</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Мане Комерц д.о.о. Србац</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Нова банка а.д. Бања Лука</w:t>
            </w:r>
          </w:p>
        </w:tc>
        <w:tc>
          <w:tcPr>
            <w:tcW w:w="1276"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4.500.000,00</w:t>
            </w:r>
          </w:p>
        </w:tc>
        <w:tc>
          <w:tcPr>
            <w:tcW w:w="1276"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1.500.000,00</w:t>
            </w:r>
          </w:p>
        </w:tc>
        <w:tc>
          <w:tcPr>
            <w:tcW w:w="1276"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1.485.962,50</w:t>
            </w:r>
          </w:p>
        </w:tc>
        <w:tc>
          <w:tcPr>
            <w:tcW w:w="992"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BA0C56">
            <w:pPr>
              <w:ind w:right="-108" w:hanging="108"/>
              <w:jc w:val="right"/>
              <w:rPr>
                <w:rFonts w:ascii="Calibri" w:hAnsi="Calibri"/>
                <w:sz w:val="18"/>
                <w:szCs w:val="18"/>
              </w:rPr>
            </w:pPr>
            <w:r w:rsidRPr="00794573">
              <w:rPr>
                <w:rFonts w:ascii="Calibri" w:hAnsi="Calibri"/>
                <w:sz w:val="18"/>
                <w:szCs w:val="18"/>
              </w:rPr>
              <w:t>1.485.962,50</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2 .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ПИЛЕПРОМ д.о.о. Србац</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Фонд за развој и запошљавање а.д. Б. Лука</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1.340.000,00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670.000,00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502.772,02</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ind w:hanging="108"/>
              <w:jc w:val="right"/>
              <w:rPr>
                <w:rFonts w:ascii="Calibri" w:hAnsi="Calibri"/>
                <w:sz w:val="18"/>
                <w:szCs w:val="18"/>
              </w:rPr>
            </w:pPr>
            <w:r w:rsidRPr="00794573">
              <w:rPr>
                <w:rFonts w:ascii="Calibri" w:hAnsi="Calibri"/>
                <w:sz w:val="18"/>
                <w:szCs w:val="18"/>
              </w:rPr>
              <w:t>502.772,02</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3 .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Default="00794573" w:rsidP="00794573">
            <w:pPr>
              <w:jc w:val="left"/>
              <w:rPr>
                <w:rFonts w:ascii="Calibri" w:hAnsi="Calibri"/>
                <w:sz w:val="18"/>
                <w:szCs w:val="18"/>
                <w:lang w:val="sr-Cyrl-RS"/>
              </w:rPr>
            </w:pPr>
            <w:r w:rsidRPr="00794573">
              <w:rPr>
                <w:rFonts w:ascii="Calibri" w:hAnsi="Calibri"/>
                <w:sz w:val="18"/>
                <w:szCs w:val="18"/>
              </w:rPr>
              <w:t xml:space="preserve">Централни регистар </w:t>
            </w:r>
          </w:p>
          <w:p w:rsidR="0048131B" w:rsidRPr="00794573" w:rsidRDefault="0048131B" w:rsidP="00794573">
            <w:pPr>
              <w:jc w:val="left"/>
              <w:rPr>
                <w:rFonts w:ascii="Calibri" w:hAnsi="Calibri"/>
                <w:sz w:val="18"/>
                <w:szCs w:val="18"/>
                <w:lang w:val="sr-Cyrl-RS"/>
              </w:rPr>
            </w:pPr>
            <w:r>
              <w:rPr>
                <w:rFonts w:ascii="Calibri" w:hAnsi="Calibri"/>
                <w:sz w:val="18"/>
                <w:szCs w:val="18"/>
                <w:lang w:val="sr-Cyrl-RS"/>
              </w:rPr>
              <w:t>ХОВ</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29.832,50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17.899,50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17.899,50</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17.899,50</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4 .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Default="00794573" w:rsidP="00D01BB3">
            <w:pPr>
              <w:jc w:val="left"/>
              <w:rPr>
                <w:rFonts w:ascii="Calibri" w:hAnsi="Calibri"/>
                <w:sz w:val="18"/>
                <w:szCs w:val="18"/>
                <w:lang w:val="sr-Cyrl-RS"/>
              </w:rPr>
            </w:pPr>
            <w:r w:rsidRPr="00794573">
              <w:rPr>
                <w:rFonts w:ascii="Calibri" w:hAnsi="Calibri"/>
                <w:sz w:val="18"/>
                <w:szCs w:val="18"/>
              </w:rPr>
              <w:t>Централни регистар</w:t>
            </w:r>
          </w:p>
          <w:p w:rsidR="00D01BB3" w:rsidRPr="00D01BB3" w:rsidRDefault="00D01BB3" w:rsidP="00D01BB3">
            <w:pPr>
              <w:jc w:val="left"/>
              <w:rPr>
                <w:rFonts w:ascii="Calibri" w:hAnsi="Calibri"/>
                <w:sz w:val="18"/>
                <w:szCs w:val="18"/>
                <w:lang w:val="sr-Cyrl-RS"/>
              </w:rPr>
            </w:pPr>
            <w:r>
              <w:rPr>
                <w:rFonts w:ascii="Calibri" w:hAnsi="Calibri"/>
                <w:sz w:val="18"/>
                <w:szCs w:val="18"/>
                <w:lang w:val="sr-Cyrl-RS"/>
              </w:rPr>
              <w:t>ХОВ</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29.981,65</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17.988,99</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17.988,97</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17.988,97</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5 .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D01BB3" w:rsidRDefault="00D01BB3" w:rsidP="00D01BB3">
            <w:pPr>
              <w:jc w:val="left"/>
              <w:rPr>
                <w:rFonts w:ascii="Calibri" w:hAnsi="Calibri"/>
                <w:sz w:val="18"/>
                <w:szCs w:val="18"/>
                <w:lang w:val="sr-Cyrl-RS"/>
              </w:rPr>
            </w:pPr>
            <w:r w:rsidRPr="00794573">
              <w:rPr>
                <w:rFonts w:ascii="Calibri" w:hAnsi="Calibri"/>
                <w:sz w:val="18"/>
                <w:szCs w:val="18"/>
              </w:rPr>
              <w:t>Централни регистар</w:t>
            </w:r>
          </w:p>
          <w:p w:rsidR="00794573" w:rsidRPr="00794573" w:rsidRDefault="00D01BB3" w:rsidP="00D01BB3">
            <w:pPr>
              <w:jc w:val="left"/>
              <w:rPr>
                <w:rFonts w:ascii="Calibri" w:hAnsi="Calibri"/>
                <w:sz w:val="18"/>
                <w:szCs w:val="18"/>
              </w:rPr>
            </w:pPr>
            <w:r>
              <w:rPr>
                <w:rFonts w:ascii="Calibri" w:hAnsi="Calibri"/>
                <w:sz w:val="18"/>
                <w:szCs w:val="18"/>
                <w:lang w:val="sr-Cyrl-RS"/>
              </w:rPr>
              <w:t>ХОВ</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30.131,57</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18.078,94</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18.078,94</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18.078,94</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6 .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D01BB3" w:rsidRDefault="00D01BB3" w:rsidP="00D01BB3">
            <w:pPr>
              <w:jc w:val="left"/>
              <w:rPr>
                <w:rFonts w:ascii="Calibri" w:hAnsi="Calibri"/>
                <w:sz w:val="18"/>
                <w:szCs w:val="18"/>
                <w:lang w:val="sr-Cyrl-RS"/>
              </w:rPr>
            </w:pPr>
            <w:r w:rsidRPr="00794573">
              <w:rPr>
                <w:rFonts w:ascii="Calibri" w:hAnsi="Calibri"/>
                <w:sz w:val="18"/>
                <w:szCs w:val="18"/>
              </w:rPr>
              <w:t>Централни регистар</w:t>
            </w:r>
          </w:p>
          <w:p w:rsidR="00794573" w:rsidRPr="00794573" w:rsidRDefault="00D01BB3" w:rsidP="00D01BB3">
            <w:pPr>
              <w:jc w:val="left"/>
              <w:rPr>
                <w:rFonts w:ascii="Calibri" w:hAnsi="Calibri"/>
                <w:sz w:val="18"/>
                <w:szCs w:val="18"/>
              </w:rPr>
            </w:pPr>
            <w:r>
              <w:rPr>
                <w:rFonts w:ascii="Calibri" w:hAnsi="Calibri"/>
                <w:sz w:val="18"/>
                <w:szCs w:val="18"/>
                <w:lang w:val="sr-Cyrl-RS"/>
              </w:rPr>
              <w:t>ХОВ</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30.282,22</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18.169,33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18.169,33</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18.169,33</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7 .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30.433,63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18.260,18</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18.260,18</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18.260,18</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8 .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30.585,80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18.351,48</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18.351,48</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18.351,48</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9 .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30.738,73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18.443,24</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18.443,24</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18.443,24</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10 .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30.892,43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18.535,46</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18.535,46</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18.535,46</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11 .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31.046,88</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18.628,13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18.628,13</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18.628,13</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12 .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31.202,12</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18.721,27</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18.721,27</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18.721,27</w:t>
            </w:r>
          </w:p>
        </w:tc>
      </w:tr>
      <w:tr w:rsidR="00794573" w:rsidRPr="00794573" w:rsidTr="00BA0C56">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13 .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31.358,13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18.814,88</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18.814,88</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18.814,88</w:t>
            </w:r>
          </w:p>
        </w:tc>
      </w:tr>
      <w:tr w:rsidR="00794573" w:rsidRPr="00794573" w:rsidTr="00BA0C56">
        <w:trPr>
          <w:trHeight w:val="33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14 .</w:t>
            </w:r>
          </w:p>
        </w:tc>
        <w:tc>
          <w:tcPr>
            <w:tcW w:w="1701"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ИНТЕРЛИГНУМ д.о.о. Теслић</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31.514,92</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18.908,95</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18.908,95</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18.908,95</w:t>
            </w:r>
          </w:p>
        </w:tc>
      </w:tr>
      <w:tr w:rsidR="00794573" w:rsidRPr="00794573" w:rsidTr="00BA0C56">
        <w:trPr>
          <w:trHeight w:val="27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15 .</w:t>
            </w:r>
          </w:p>
        </w:tc>
        <w:tc>
          <w:tcPr>
            <w:tcW w:w="1701"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ДИ ШИПОВО д.о.о. Шипово</w:t>
            </w:r>
          </w:p>
        </w:tc>
        <w:tc>
          <w:tcPr>
            <w:tcW w:w="1984" w:type="dxa"/>
            <w:tcBorders>
              <w:top w:val="nil"/>
              <w:left w:val="nil"/>
              <w:bottom w:val="single" w:sz="4" w:space="0" w:color="auto"/>
              <w:right w:val="single" w:sz="4" w:space="0" w:color="auto"/>
            </w:tcBorders>
            <w:shd w:val="clear" w:color="auto" w:fill="auto"/>
            <w:vAlign w:val="center"/>
            <w:hideMark/>
          </w:tcPr>
          <w:p w:rsidR="00794573" w:rsidRPr="00794573" w:rsidRDefault="00794573" w:rsidP="00794573">
            <w:pPr>
              <w:jc w:val="left"/>
              <w:rPr>
                <w:rFonts w:ascii="Calibri" w:hAnsi="Calibri"/>
                <w:sz w:val="18"/>
                <w:szCs w:val="18"/>
              </w:rPr>
            </w:pPr>
            <w:r w:rsidRPr="00794573">
              <w:rPr>
                <w:rFonts w:ascii="Calibri" w:hAnsi="Calibri"/>
                <w:sz w:val="18"/>
                <w:szCs w:val="18"/>
              </w:rPr>
              <w:t xml:space="preserve">Централни регистар </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22.780,93</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6.834,28</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6.834,28</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6.834,28</w:t>
            </w:r>
          </w:p>
        </w:tc>
      </w:tr>
      <w:tr w:rsidR="00794573" w:rsidRPr="00794573" w:rsidTr="00BA0C56">
        <w:trPr>
          <w:trHeight w:val="31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16 .</w:t>
            </w:r>
          </w:p>
        </w:tc>
        <w:tc>
          <w:tcPr>
            <w:tcW w:w="1701" w:type="dxa"/>
            <w:tcBorders>
              <w:top w:val="nil"/>
              <w:left w:val="nil"/>
              <w:bottom w:val="single" w:sz="4" w:space="0" w:color="auto"/>
              <w:right w:val="single" w:sz="4" w:space="0" w:color="auto"/>
            </w:tcBorders>
            <w:shd w:val="clear" w:color="auto" w:fill="auto"/>
            <w:noWrap/>
            <w:vAlign w:val="bottom"/>
            <w:hideMark/>
          </w:tcPr>
          <w:p w:rsidR="00794573" w:rsidRPr="00794573" w:rsidRDefault="00794573" w:rsidP="00794573">
            <w:pPr>
              <w:jc w:val="left"/>
              <w:rPr>
                <w:rFonts w:ascii="Calibri" w:hAnsi="Calibri"/>
                <w:sz w:val="18"/>
                <w:szCs w:val="18"/>
              </w:rPr>
            </w:pPr>
            <w:r w:rsidRPr="00794573">
              <w:rPr>
                <w:rFonts w:ascii="Calibri" w:hAnsi="Calibri"/>
                <w:sz w:val="18"/>
                <w:szCs w:val="18"/>
              </w:rPr>
              <w:t>ЂУРИЋМОНТ зтр Инеска Ђурић с.п. Модрича</w:t>
            </w:r>
          </w:p>
        </w:tc>
        <w:tc>
          <w:tcPr>
            <w:tcW w:w="1984" w:type="dxa"/>
            <w:tcBorders>
              <w:top w:val="nil"/>
              <w:left w:val="nil"/>
              <w:bottom w:val="single" w:sz="4" w:space="0" w:color="auto"/>
              <w:right w:val="single" w:sz="4" w:space="0" w:color="auto"/>
            </w:tcBorders>
            <w:shd w:val="clear" w:color="auto" w:fill="auto"/>
            <w:noWrap/>
            <w:vAlign w:val="bottom"/>
            <w:hideMark/>
          </w:tcPr>
          <w:p w:rsidR="00794573" w:rsidRPr="00794573" w:rsidRDefault="00794573" w:rsidP="00794573">
            <w:pPr>
              <w:jc w:val="left"/>
              <w:rPr>
                <w:rFonts w:ascii="Calibri" w:hAnsi="Calibri"/>
                <w:sz w:val="18"/>
                <w:szCs w:val="18"/>
              </w:rPr>
            </w:pPr>
            <w:r w:rsidRPr="00794573">
              <w:rPr>
                <w:rFonts w:ascii="Calibri" w:hAnsi="Calibri"/>
                <w:sz w:val="18"/>
                <w:szCs w:val="18"/>
              </w:rPr>
              <w:t>МФ банка а.д. Бања Лука</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25.000,00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23.824,11</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23.824,11</w:t>
            </w:r>
          </w:p>
        </w:tc>
      </w:tr>
      <w:tr w:rsidR="00794573" w:rsidRPr="00794573" w:rsidTr="00BA0C56">
        <w:trPr>
          <w:trHeight w:val="31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794573" w:rsidRPr="00794573" w:rsidRDefault="00794573" w:rsidP="00222447">
            <w:pPr>
              <w:ind w:left="-142"/>
              <w:jc w:val="right"/>
              <w:rPr>
                <w:rFonts w:ascii="Calibri" w:hAnsi="Calibri"/>
                <w:sz w:val="18"/>
                <w:szCs w:val="18"/>
              </w:rPr>
            </w:pPr>
            <w:r w:rsidRPr="00794573">
              <w:rPr>
                <w:rFonts w:ascii="Calibri" w:hAnsi="Calibri"/>
                <w:sz w:val="18"/>
                <w:szCs w:val="18"/>
              </w:rPr>
              <w:t>17 .</w:t>
            </w:r>
          </w:p>
        </w:tc>
        <w:tc>
          <w:tcPr>
            <w:tcW w:w="1701" w:type="dxa"/>
            <w:tcBorders>
              <w:top w:val="nil"/>
              <w:left w:val="nil"/>
              <w:bottom w:val="single" w:sz="4" w:space="0" w:color="auto"/>
              <w:right w:val="single" w:sz="4" w:space="0" w:color="auto"/>
            </w:tcBorders>
            <w:shd w:val="clear" w:color="auto" w:fill="auto"/>
            <w:noWrap/>
            <w:vAlign w:val="bottom"/>
            <w:hideMark/>
          </w:tcPr>
          <w:p w:rsidR="00794573" w:rsidRPr="00794573" w:rsidRDefault="00794573" w:rsidP="00794573">
            <w:pPr>
              <w:jc w:val="left"/>
              <w:rPr>
                <w:rFonts w:ascii="Calibri" w:hAnsi="Calibri"/>
                <w:sz w:val="18"/>
                <w:szCs w:val="18"/>
              </w:rPr>
            </w:pPr>
            <w:r w:rsidRPr="00794573">
              <w:rPr>
                <w:rFonts w:ascii="Calibri" w:hAnsi="Calibri"/>
                <w:sz w:val="18"/>
                <w:szCs w:val="18"/>
              </w:rPr>
              <w:t>VS Company d.o.o. Prnjavor</w:t>
            </w:r>
          </w:p>
        </w:tc>
        <w:tc>
          <w:tcPr>
            <w:tcW w:w="1984" w:type="dxa"/>
            <w:tcBorders>
              <w:top w:val="nil"/>
              <w:left w:val="nil"/>
              <w:bottom w:val="single" w:sz="4" w:space="0" w:color="auto"/>
              <w:right w:val="single" w:sz="4" w:space="0" w:color="auto"/>
            </w:tcBorders>
            <w:shd w:val="clear" w:color="auto" w:fill="auto"/>
            <w:noWrap/>
            <w:vAlign w:val="bottom"/>
            <w:hideMark/>
          </w:tcPr>
          <w:p w:rsidR="00794573" w:rsidRPr="00794573" w:rsidRDefault="00794573" w:rsidP="00794573">
            <w:pPr>
              <w:jc w:val="left"/>
              <w:rPr>
                <w:rFonts w:ascii="Calibri" w:hAnsi="Calibri"/>
                <w:sz w:val="18"/>
                <w:szCs w:val="18"/>
              </w:rPr>
            </w:pPr>
            <w:r w:rsidRPr="00794573">
              <w:rPr>
                <w:rFonts w:ascii="Calibri" w:hAnsi="Calibri"/>
                <w:sz w:val="18"/>
                <w:szCs w:val="18"/>
              </w:rPr>
              <w:t>МФ банка а.д. Бања Лука</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100.000,00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32.499,79</w:t>
            </w:r>
          </w:p>
        </w:tc>
        <w:tc>
          <w:tcPr>
            <w:tcW w:w="992" w:type="dxa"/>
            <w:tcBorders>
              <w:top w:val="nil"/>
              <w:left w:val="nil"/>
              <w:bottom w:val="single" w:sz="4" w:space="0" w:color="auto"/>
              <w:right w:val="single" w:sz="4" w:space="0" w:color="auto"/>
            </w:tcBorders>
            <w:shd w:val="clear" w:color="auto" w:fill="auto"/>
            <w:noWrap/>
            <w:vAlign w:val="center"/>
            <w:hideMark/>
          </w:tcPr>
          <w:p w:rsidR="00794573" w:rsidRPr="00794573" w:rsidRDefault="00794573" w:rsidP="00BA0C56">
            <w:pPr>
              <w:jc w:val="right"/>
              <w:rPr>
                <w:rFonts w:ascii="Calibri" w:hAnsi="Calibri"/>
                <w:sz w:val="18"/>
                <w:szCs w:val="18"/>
              </w:rPr>
            </w:pPr>
            <w:r w:rsidRPr="00794573">
              <w:rPr>
                <w:rFonts w:ascii="Calibri" w:hAnsi="Calibri"/>
                <w:sz w:val="18"/>
                <w:szCs w:val="18"/>
              </w:rPr>
              <w:t>32.499,79</w:t>
            </w:r>
          </w:p>
        </w:tc>
      </w:tr>
      <w:tr w:rsidR="00794573" w:rsidRPr="00794573" w:rsidTr="0048131B">
        <w:trPr>
          <w:trHeight w:val="315"/>
        </w:trPr>
        <w:tc>
          <w:tcPr>
            <w:tcW w:w="4077" w:type="dxa"/>
            <w:gridSpan w:val="3"/>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794573" w:rsidRPr="00794573" w:rsidRDefault="00794573" w:rsidP="00794573">
            <w:pPr>
              <w:jc w:val="center"/>
              <w:rPr>
                <w:rFonts w:ascii="Calibri" w:hAnsi="Calibri"/>
                <w:b/>
                <w:bCs/>
                <w:sz w:val="18"/>
                <w:szCs w:val="18"/>
              </w:rPr>
            </w:pPr>
            <w:r w:rsidRPr="00794573">
              <w:rPr>
                <w:rFonts w:ascii="Calibri" w:hAnsi="Calibri"/>
                <w:b/>
                <w:bCs/>
                <w:sz w:val="18"/>
                <w:szCs w:val="18"/>
              </w:rPr>
              <w:t>УКУПНО</w:t>
            </w:r>
          </w:p>
        </w:tc>
        <w:tc>
          <w:tcPr>
            <w:tcW w:w="1276" w:type="dxa"/>
            <w:tcBorders>
              <w:top w:val="single" w:sz="4" w:space="0" w:color="auto"/>
              <w:left w:val="nil"/>
              <w:bottom w:val="single" w:sz="4" w:space="0" w:color="auto"/>
              <w:right w:val="single" w:sz="4" w:space="0" w:color="auto"/>
            </w:tcBorders>
            <w:shd w:val="clear" w:color="000000" w:fill="8DB4E2"/>
            <w:noWrap/>
            <w:vAlign w:val="bottom"/>
            <w:hideMark/>
          </w:tcPr>
          <w:p w:rsidR="00794573" w:rsidRPr="00794573" w:rsidRDefault="00794573" w:rsidP="00794573">
            <w:pPr>
              <w:jc w:val="center"/>
              <w:rPr>
                <w:rFonts w:ascii="Calibri" w:hAnsi="Calibri"/>
                <w:b/>
                <w:bCs/>
                <w:sz w:val="18"/>
                <w:szCs w:val="18"/>
              </w:rPr>
            </w:pPr>
            <w:r w:rsidRPr="00794573">
              <w:rPr>
                <w:rFonts w:ascii="Calibri" w:hAnsi="Calibri"/>
                <w:b/>
                <w:bCs/>
                <w:sz w:val="18"/>
                <w:szCs w:val="18"/>
              </w:rPr>
              <w:t>6.380.781,52</w:t>
            </w:r>
          </w:p>
        </w:tc>
        <w:tc>
          <w:tcPr>
            <w:tcW w:w="1276" w:type="dxa"/>
            <w:tcBorders>
              <w:top w:val="nil"/>
              <w:left w:val="nil"/>
              <w:bottom w:val="single" w:sz="4" w:space="0" w:color="auto"/>
              <w:right w:val="single" w:sz="4" w:space="0" w:color="auto"/>
            </w:tcBorders>
            <w:shd w:val="clear" w:color="000000" w:fill="8DB4E2"/>
            <w:noWrap/>
            <w:vAlign w:val="bottom"/>
            <w:hideMark/>
          </w:tcPr>
          <w:p w:rsidR="00794573" w:rsidRPr="00794573" w:rsidRDefault="00794573" w:rsidP="00794573">
            <w:pPr>
              <w:jc w:val="right"/>
              <w:rPr>
                <w:rFonts w:ascii="Calibri" w:hAnsi="Calibri"/>
                <w:b/>
                <w:bCs/>
                <w:sz w:val="18"/>
                <w:szCs w:val="18"/>
              </w:rPr>
            </w:pPr>
            <w:r w:rsidRPr="00794573">
              <w:rPr>
                <w:rFonts w:ascii="Calibri" w:hAnsi="Calibri"/>
                <w:b/>
                <w:bCs/>
                <w:sz w:val="18"/>
                <w:szCs w:val="18"/>
              </w:rPr>
              <w:t>2.472.634,63</w:t>
            </w:r>
          </w:p>
        </w:tc>
        <w:tc>
          <w:tcPr>
            <w:tcW w:w="1276" w:type="dxa"/>
            <w:tcBorders>
              <w:top w:val="nil"/>
              <w:left w:val="nil"/>
              <w:bottom w:val="single" w:sz="4" w:space="0" w:color="auto"/>
              <w:right w:val="single" w:sz="4" w:space="0" w:color="auto"/>
            </w:tcBorders>
            <w:shd w:val="clear" w:color="000000" w:fill="8DB4E2"/>
            <w:noWrap/>
            <w:vAlign w:val="bottom"/>
            <w:hideMark/>
          </w:tcPr>
          <w:p w:rsidR="00794573" w:rsidRPr="00794573" w:rsidRDefault="00794573" w:rsidP="00794573">
            <w:pPr>
              <w:jc w:val="right"/>
              <w:rPr>
                <w:rFonts w:ascii="Calibri" w:hAnsi="Calibri"/>
                <w:b/>
                <w:bCs/>
                <w:sz w:val="18"/>
                <w:szCs w:val="18"/>
              </w:rPr>
            </w:pPr>
            <w:r w:rsidRPr="00794573">
              <w:rPr>
                <w:rFonts w:ascii="Calibri" w:hAnsi="Calibri"/>
                <w:b/>
                <w:bCs/>
                <w:sz w:val="18"/>
                <w:szCs w:val="18"/>
              </w:rPr>
              <w:t>2.272.693,03</w:t>
            </w:r>
          </w:p>
        </w:tc>
        <w:tc>
          <w:tcPr>
            <w:tcW w:w="992" w:type="dxa"/>
            <w:tcBorders>
              <w:top w:val="nil"/>
              <w:left w:val="nil"/>
              <w:bottom w:val="single" w:sz="4" w:space="0" w:color="auto"/>
              <w:right w:val="single" w:sz="4" w:space="0" w:color="auto"/>
            </w:tcBorders>
            <w:shd w:val="clear" w:color="000000" w:fill="8DB4E2"/>
            <w:noWrap/>
            <w:vAlign w:val="bottom"/>
            <w:hideMark/>
          </w:tcPr>
          <w:p w:rsidR="00794573" w:rsidRPr="00794573" w:rsidRDefault="00794573" w:rsidP="0048131B">
            <w:pPr>
              <w:ind w:left="-108" w:right="-108" w:hanging="108"/>
              <w:jc w:val="right"/>
              <w:rPr>
                <w:rFonts w:ascii="Calibri" w:hAnsi="Calibri"/>
                <w:b/>
                <w:bCs/>
                <w:sz w:val="18"/>
                <w:szCs w:val="18"/>
              </w:rPr>
            </w:pPr>
            <w:r w:rsidRPr="00794573">
              <w:rPr>
                <w:rFonts w:ascii="Calibri" w:hAnsi="Calibri"/>
                <w:b/>
                <w:bCs/>
                <w:sz w:val="18"/>
                <w:szCs w:val="18"/>
              </w:rPr>
              <w:t>2.272.693,03</w:t>
            </w:r>
          </w:p>
        </w:tc>
      </w:tr>
    </w:tbl>
    <w:p w:rsidR="001D04EC" w:rsidRPr="003D7300" w:rsidRDefault="001D04EC" w:rsidP="008A780A">
      <w:pPr>
        <w:autoSpaceDE w:val="0"/>
        <w:autoSpaceDN w:val="0"/>
        <w:adjustRightInd w:val="0"/>
        <w:rPr>
          <w:rFonts w:asciiTheme="minorHAnsi" w:eastAsiaTheme="minorHAnsi" w:hAnsiTheme="minorHAnsi"/>
          <w:color w:val="FF0000"/>
          <w:sz w:val="20"/>
          <w:szCs w:val="20"/>
          <w:lang w:val="sr-Cyrl-BA" w:eastAsia="en-US"/>
        </w:rPr>
      </w:pPr>
    </w:p>
    <w:p w:rsidR="00B44F5F" w:rsidRPr="00CF1455" w:rsidRDefault="001538EF" w:rsidP="008A780A">
      <w:pPr>
        <w:autoSpaceDE w:val="0"/>
        <w:autoSpaceDN w:val="0"/>
        <w:adjustRightInd w:val="0"/>
        <w:rPr>
          <w:rFonts w:asciiTheme="minorHAnsi" w:eastAsiaTheme="minorHAnsi" w:hAnsiTheme="minorHAnsi"/>
          <w:color w:val="auto"/>
          <w:sz w:val="20"/>
          <w:szCs w:val="20"/>
          <w:lang w:val="sr-Cyrl-BA" w:eastAsia="en-US"/>
        </w:rPr>
      </w:pPr>
      <w:r w:rsidRPr="00CF1455">
        <w:rPr>
          <w:rFonts w:asciiTheme="minorHAnsi" w:eastAsiaTheme="minorHAnsi" w:hAnsiTheme="minorHAnsi"/>
          <w:color w:val="auto"/>
          <w:sz w:val="20"/>
          <w:szCs w:val="20"/>
          <w:lang w:val="sr-Cyrl-BA" w:eastAsia="en-US"/>
        </w:rPr>
        <w:t>У 202</w:t>
      </w:r>
      <w:r w:rsidR="00CF1455" w:rsidRPr="00CF1455">
        <w:rPr>
          <w:rFonts w:asciiTheme="minorHAnsi" w:eastAsiaTheme="minorHAnsi" w:hAnsiTheme="minorHAnsi"/>
          <w:color w:val="auto"/>
          <w:sz w:val="20"/>
          <w:szCs w:val="20"/>
          <w:lang w:val="sr-Cyrl-BA" w:eastAsia="en-US"/>
        </w:rPr>
        <w:t>4</w:t>
      </w:r>
      <w:r w:rsidRPr="00CF1455">
        <w:rPr>
          <w:rFonts w:asciiTheme="minorHAnsi" w:eastAsiaTheme="minorHAnsi" w:hAnsiTheme="minorHAnsi"/>
          <w:color w:val="auto"/>
          <w:sz w:val="20"/>
          <w:szCs w:val="20"/>
          <w:lang w:val="sr-Cyrl-BA" w:eastAsia="en-US"/>
        </w:rPr>
        <w:t xml:space="preserve">. години </w:t>
      </w:r>
      <w:r w:rsidR="00222447">
        <w:rPr>
          <w:rFonts w:asciiTheme="minorHAnsi" w:eastAsiaTheme="minorHAnsi" w:hAnsiTheme="minorHAnsi"/>
          <w:color w:val="auto"/>
          <w:sz w:val="20"/>
          <w:szCs w:val="20"/>
          <w:lang w:val="sr-Cyrl-BA" w:eastAsia="en-US"/>
        </w:rPr>
        <w:t xml:space="preserve">је извршено плаћање </w:t>
      </w:r>
      <w:r w:rsidR="00CF1455" w:rsidRPr="00CF1455">
        <w:rPr>
          <w:rFonts w:asciiTheme="minorHAnsi" w:eastAsiaTheme="minorHAnsi" w:hAnsiTheme="minorHAnsi"/>
          <w:color w:val="auto"/>
          <w:sz w:val="20"/>
          <w:szCs w:val="20"/>
          <w:lang w:val="sr-Cyrl-BA" w:eastAsia="en-US"/>
        </w:rPr>
        <w:t>1</w:t>
      </w:r>
      <w:r w:rsidR="0048131B">
        <w:rPr>
          <w:rFonts w:asciiTheme="minorHAnsi" w:eastAsiaTheme="minorHAnsi" w:hAnsiTheme="minorHAnsi"/>
          <w:color w:val="auto"/>
          <w:sz w:val="20"/>
          <w:szCs w:val="20"/>
          <w:lang w:val="sr-Cyrl-BA" w:eastAsia="en-US"/>
        </w:rPr>
        <w:t>7</w:t>
      </w:r>
      <w:r w:rsidR="00D362E3" w:rsidRPr="00CF1455">
        <w:rPr>
          <w:rFonts w:asciiTheme="minorHAnsi" w:eastAsiaTheme="minorHAnsi" w:hAnsiTheme="minorHAnsi"/>
          <w:color w:val="auto"/>
          <w:sz w:val="20"/>
          <w:szCs w:val="20"/>
          <w:lang w:val="sr-Cyrl-BA" w:eastAsia="en-US"/>
        </w:rPr>
        <w:t xml:space="preserve"> гаранција одобрених у номиналном износу од </w:t>
      </w:r>
      <w:r w:rsidR="0048131B">
        <w:rPr>
          <w:rFonts w:asciiTheme="minorHAnsi" w:eastAsiaTheme="minorHAnsi" w:hAnsiTheme="minorHAnsi"/>
          <w:color w:val="auto"/>
          <w:sz w:val="20"/>
          <w:szCs w:val="20"/>
          <w:lang w:val="sr-Cyrl-BA" w:eastAsia="en-US"/>
        </w:rPr>
        <w:t>2.472.634,63</w:t>
      </w:r>
      <w:r w:rsidR="00D362E3" w:rsidRPr="00CF1455">
        <w:rPr>
          <w:rFonts w:asciiTheme="minorHAnsi" w:eastAsiaTheme="minorHAnsi" w:hAnsiTheme="minorHAnsi"/>
          <w:color w:val="auto"/>
          <w:sz w:val="20"/>
          <w:szCs w:val="20"/>
          <w:lang w:val="sr-Cyrl-BA" w:eastAsia="en-US"/>
        </w:rPr>
        <w:t xml:space="preserve"> КМ. Протестовани </w:t>
      </w:r>
      <w:r w:rsidR="00CF1455" w:rsidRPr="00CF1455">
        <w:rPr>
          <w:rFonts w:asciiTheme="minorHAnsi" w:eastAsiaTheme="minorHAnsi" w:hAnsiTheme="minorHAnsi"/>
          <w:color w:val="auto"/>
          <w:sz w:val="20"/>
          <w:szCs w:val="20"/>
          <w:lang w:val="sr-Cyrl-BA" w:eastAsia="en-US"/>
        </w:rPr>
        <w:t xml:space="preserve">и плаћени </w:t>
      </w:r>
      <w:r w:rsidR="00D362E3" w:rsidRPr="00CF1455">
        <w:rPr>
          <w:rFonts w:asciiTheme="minorHAnsi" w:eastAsiaTheme="minorHAnsi" w:hAnsiTheme="minorHAnsi"/>
          <w:color w:val="auto"/>
          <w:sz w:val="20"/>
          <w:szCs w:val="20"/>
          <w:lang w:val="sr-Cyrl-BA" w:eastAsia="en-US"/>
        </w:rPr>
        <w:t xml:space="preserve">износ наведених гаранција је </w:t>
      </w:r>
      <w:r w:rsidR="0048131B">
        <w:rPr>
          <w:rFonts w:asciiTheme="minorHAnsi" w:eastAsiaTheme="minorHAnsi" w:hAnsiTheme="minorHAnsi"/>
          <w:color w:val="auto"/>
          <w:sz w:val="20"/>
          <w:szCs w:val="20"/>
          <w:lang w:val="sr-Cyrl-BA" w:eastAsia="en-US"/>
        </w:rPr>
        <w:t>2.272.693,03</w:t>
      </w:r>
      <w:r w:rsidR="00D362E3" w:rsidRPr="00CF1455">
        <w:rPr>
          <w:rFonts w:asciiTheme="minorHAnsi" w:eastAsiaTheme="minorHAnsi" w:hAnsiTheme="minorHAnsi"/>
          <w:color w:val="auto"/>
          <w:sz w:val="20"/>
          <w:szCs w:val="20"/>
          <w:lang w:val="sr-Cyrl-BA" w:eastAsia="en-US"/>
        </w:rPr>
        <w:t xml:space="preserve"> КМ, што одговара стању гаранција на дан</w:t>
      </w:r>
      <w:r w:rsidR="00BF3550">
        <w:rPr>
          <w:rFonts w:asciiTheme="minorHAnsi" w:eastAsiaTheme="minorHAnsi" w:hAnsiTheme="minorHAnsi"/>
          <w:color w:val="auto"/>
          <w:sz w:val="20"/>
          <w:szCs w:val="20"/>
          <w:lang w:val="sr-Cyrl-BA" w:eastAsia="en-US"/>
        </w:rPr>
        <w:t xml:space="preserve"> подношења захтјева за плаћање. </w:t>
      </w:r>
      <w:r w:rsidR="00457A6B">
        <w:rPr>
          <w:rFonts w:asciiTheme="minorHAnsi" w:eastAsiaTheme="minorHAnsi" w:hAnsiTheme="minorHAnsi"/>
          <w:color w:val="auto"/>
          <w:sz w:val="20"/>
          <w:szCs w:val="20"/>
          <w:lang w:val="sr-Cyrl-BA" w:eastAsia="en-US"/>
        </w:rPr>
        <w:t xml:space="preserve">Активирањем инструмената обезбјеђења, односно регресном наплатом до сада је наплаћен износ од 11.715,44 КМ. </w:t>
      </w:r>
    </w:p>
    <w:p w:rsidR="008A780A" w:rsidRPr="003D7300" w:rsidRDefault="008A780A" w:rsidP="008A780A">
      <w:pPr>
        <w:autoSpaceDE w:val="0"/>
        <w:autoSpaceDN w:val="0"/>
        <w:adjustRightInd w:val="0"/>
        <w:rPr>
          <w:rFonts w:asciiTheme="minorHAnsi" w:eastAsiaTheme="minorHAnsi" w:hAnsiTheme="minorHAnsi"/>
          <w:color w:val="FF0000"/>
          <w:sz w:val="20"/>
          <w:szCs w:val="20"/>
          <w:lang w:val="sr-Cyrl-BA" w:eastAsia="en-US"/>
        </w:rPr>
      </w:pPr>
    </w:p>
    <w:p w:rsidR="00222447" w:rsidRDefault="00BF3550" w:rsidP="00CF1455">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 xml:space="preserve">Највећи </w:t>
      </w:r>
      <w:r w:rsidR="00670FF0">
        <w:rPr>
          <w:rFonts w:asciiTheme="minorHAnsi" w:eastAsiaTheme="minorHAnsi" w:hAnsiTheme="minorHAnsi"/>
          <w:color w:val="auto"/>
          <w:sz w:val="20"/>
          <w:szCs w:val="20"/>
          <w:lang w:val="sr-Cyrl-BA" w:eastAsia="en-US"/>
        </w:rPr>
        <w:t>дио плаћених средстава</w:t>
      </w:r>
      <w:r w:rsidRPr="00BF3550">
        <w:rPr>
          <w:rFonts w:asciiTheme="minorHAnsi" w:eastAsiaTheme="minorHAnsi" w:hAnsiTheme="minorHAnsi"/>
          <w:color w:val="auto"/>
          <w:sz w:val="20"/>
          <w:szCs w:val="20"/>
          <w:lang w:val="sr-Cyrl-BA" w:eastAsia="en-US"/>
        </w:rPr>
        <w:t xml:space="preserve"> се односи на гаранцију</w:t>
      </w:r>
      <w:r w:rsidR="00B44F5F" w:rsidRPr="00BF3550">
        <w:rPr>
          <w:rFonts w:asciiTheme="minorHAnsi" w:eastAsiaTheme="minorHAnsi" w:hAnsiTheme="minorHAnsi"/>
          <w:color w:val="auto"/>
          <w:sz w:val="20"/>
          <w:szCs w:val="20"/>
          <w:lang w:val="sr-Cyrl-BA" w:eastAsia="en-US"/>
        </w:rPr>
        <w:t xml:space="preserve"> за клијента </w:t>
      </w:r>
      <w:r w:rsidR="0048131B">
        <w:rPr>
          <w:rFonts w:asciiTheme="minorHAnsi" w:eastAsiaTheme="minorHAnsi" w:hAnsiTheme="minorHAnsi"/>
          <w:color w:val="auto"/>
          <w:sz w:val="20"/>
          <w:szCs w:val="20"/>
          <w:lang w:val="sr-Cyrl-BA" w:eastAsia="en-US"/>
        </w:rPr>
        <w:t xml:space="preserve">Мане Комерц д.о.о. Србац у износу од 1.485.962,50 КМ. </w:t>
      </w:r>
      <w:r w:rsidR="00222447">
        <w:rPr>
          <w:rFonts w:asciiTheme="minorHAnsi" w:eastAsiaTheme="minorHAnsi" w:hAnsiTheme="minorHAnsi"/>
          <w:color w:val="auto"/>
          <w:sz w:val="20"/>
          <w:szCs w:val="20"/>
          <w:lang w:val="sr-Cyrl-BA" w:eastAsia="en-US"/>
        </w:rPr>
        <w:t>Захтјев за плаћање је поднесен током 2023. године, након чега је и</w:t>
      </w:r>
      <w:r w:rsidR="0048131B">
        <w:rPr>
          <w:rFonts w:asciiTheme="minorHAnsi" w:eastAsiaTheme="minorHAnsi" w:hAnsiTheme="minorHAnsi"/>
          <w:color w:val="auto"/>
          <w:sz w:val="20"/>
          <w:szCs w:val="20"/>
          <w:lang w:val="sr-Cyrl-BA" w:eastAsia="en-US"/>
        </w:rPr>
        <w:t>змеђу Гарантног фонда и Нове банке као корисника гаранције вођен суд</w:t>
      </w:r>
      <w:r w:rsidR="00222447">
        <w:rPr>
          <w:rFonts w:asciiTheme="minorHAnsi" w:eastAsiaTheme="minorHAnsi" w:hAnsiTheme="minorHAnsi"/>
          <w:color w:val="auto"/>
          <w:sz w:val="20"/>
          <w:szCs w:val="20"/>
          <w:lang w:val="sr-Cyrl-BA" w:eastAsia="en-US"/>
        </w:rPr>
        <w:t xml:space="preserve">ски спор, а судском пресудом </w:t>
      </w:r>
      <w:r w:rsidR="0048131B">
        <w:rPr>
          <w:rFonts w:asciiTheme="minorHAnsi" w:eastAsiaTheme="minorHAnsi" w:hAnsiTheme="minorHAnsi"/>
          <w:color w:val="auto"/>
          <w:sz w:val="20"/>
          <w:szCs w:val="20"/>
          <w:lang w:val="sr-Cyrl-BA" w:eastAsia="en-US"/>
        </w:rPr>
        <w:t xml:space="preserve">је наложено плаћање гаранције у фебруару 2024. године, када је дошло до стварног одлива средстава. </w:t>
      </w:r>
    </w:p>
    <w:p w:rsidR="00222447" w:rsidRDefault="00222447" w:rsidP="00CF1455">
      <w:pPr>
        <w:rPr>
          <w:rFonts w:asciiTheme="minorHAnsi" w:eastAsiaTheme="minorHAnsi" w:hAnsiTheme="minorHAnsi"/>
          <w:color w:val="auto"/>
          <w:sz w:val="20"/>
          <w:szCs w:val="20"/>
          <w:lang w:val="sr-Cyrl-BA" w:eastAsia="en-US"/>
        </w:rPr>
      </w:pPr>
    </w:p>
    <w:p w:rsidR="00B44F5F" w:rsidRPr="00454C9F" w:rsidRDefault="0048131B" w:rsidP="00CF1455">
      <w:pPr>
        <w:rPr>
          <w:rFonts w:ascii="Calibri" w:hAnsi="Calibri"/>
          <w:color w:val="auto"/>
          <w:sz w:val="18"/>
          <w:szCs w:val="18"/>
          <w:lang w:val="sr-Cyrl-RS"/>
        </w:rPr>
      </w:pPr>
      <w:r>
        <w:rPr>
          <w:rFonts w:asciiTheme="minorHAnsi" w:eastAsiaTheme="minorHAnsi" w:hAnsiTheme="minorHAnsi"/>
          <w:color w:val="auto"/>
          <w:sz w:val="20"/>
          <w:szCs w:val="20"/>
          <w:lang w:val="sr-Cyrl-BA" w:eastAsia="en-US"/>
        </w:rPr>
        <w:t xml:space="preserve">Над имовином дужника се тренутно води стечајни поступак, а Гарантни фонд је пријавио своја потраживања и чека окончање поступка. Гаранција за клијента </w:t>
      </w:r>
      <w:r w:rsidR="00B44F5F" w:rsidRPr="00BF3550">
        <w:rPr>
          <w:rFonts w:asciiTheme="minorHAnsi" w:eastAsiaTheme="minorHAnsi" w:hAnsiTheme="minorHAnsi"/>
          <w:color w:val="auto"/>
          <w:sz w:val="20"/>
          <w:szCs w:val="20"/>
          <w:lang w:val="sr-Cyrl-BA" w:eastAsia="en-US"/>
        </w:rPr>
        <w:t>П</w:t>
      </w:r>
      <w:r w:rsidR="00CF1455" w:rsidRPr="00BF3550">
        <w:rPr>
          <w:rFonts w:asciiTheme="minorHAnsi" w:eastAsiaTheme="minorHAnsi" w:hAnsiTheme="minorHAnsi"/>
          <w:color w:val="auto"/>
          <w:sz w:val="20"/>
          <w:szCs w:val="20"/>
          <w:lang w:val="sr-Cyrl-BA" w:eastAsia="en-US"/>
        </w:rPr>
        <w:t xml:space="preserve">илепром </w:t>
      </w:r>
      <w:r w:rsidR="00B44F5F" w:rsidRPr="00BF3550">
        <w:rPr>
          <w:rFonts w:asciiTheme="minorHAnsi" w:eastAsiaTheme="minorHAnsi" w:hAnsiTheme="minorHAnsi"/>
          <w:color w:val="auto"/>
          <w:sz w:val="20"/>
          <w:szCs w:val="20"/>
          <w:lang w:val="sr-Cyrl-BA" w:eastAsia="en-US"/>
        </w:rPr>
        <w:t xml:space="preserve">д.о.о. </w:t>
      </w:r>
      <w:r w:rsidR="00CF1455" w:rsidRPr="00BF3550">
        <w:rPr>
          <w:rFonts w:asciiTheme="minorHAnsi" w:eastAsiaTheme="minorHAnsi" w:hAnsiTheme="minorHAnsi"/>
          <w:color w:val="auto"/>
          <w:sz w:val="20"/>
          <w:szCs w:val="20"/>
          <w:lang w:val="sr-Cyrl-BA" w:eastAsia="en-US"/>
        </w:rPr>
        <w:t>Србац</w:t>
      </w:r>
      <w:r>
        <w:rPr>
          <w:rFonts w:asciiTheme="minorHAnsi" w:eastAsiaTheme="minorHAnsi" w:hAnsiTheme="minorHAnsi"/>
          <w:color w:val="auto"/>
          <w:sz w:val="20"/>
          <w:szCs w:val="20"/>
          <w:lang w:val="sr-Cyrl-BA" w:eastAsia="en-US"/>
        </w:rPr>
        <w:t xml:space="preserve"> је плаћена</w:t>
      </w:r>
      <w:r w:rsidR="00B44F5F" w:rsidRPr="00BF3550">
        <w:rPr>
          <w:rFonts w:asciiTheme="minorHAnsi" w:eastAsiaTheme="minorHAnsi" w:hAnsiTheme="minorHAnsi"/>
          <w:color w:val="auto"/>
          <w:sz w:val="20"/>
          <w:szCs w:val="20"/>
          <w:lang w:val="sr-Cyrl-BA" w:eastAsia="en-US"/>
        </w:rPr>
        <w:t xml:space="preserve"> у износу од </w:t>
      </w:r>
      <w:r w:rsidR="00CF1455" w:rsidRPr="00CF1455">
        <w:rPr>
          <w:rFonts w:ascii="Calibri" w:hAnsi="Calibri"/>
          <w:color w:val="auto"/>
          <w:sz w:val="20"/>
          <w:szCs w:val="20"/>
        </w:rPr>
        <w:t>502.772,02</w:t>
      </w:r>
      <w:r w:rsidR="00B44F5F" w:rsidRPr="00BF3550">
        <w:rPr>
          <w:rFonts w:asciiTheme="minorHAnsi" w:eastAsiaTheme="minorHAnsi" w:hAnsiTheme="minorHAnsi"/>
          <w:color w:val="auto"/>
          <w:sz w:val="20"/>
          <w:szCs w:val="20"/>
          <w:lang w:val="sr-Cyrl-BA" w:eastAsia="en-US"/>
        </w:rPr>
        <w:t xml:space="preserve"> КМ</w:t>
      </w:r>
      <w:r w:rsidR="00BF3550" w:rsidRPr="00BF3550">
        <w:rPr>
          <w:rFonts w:asciiTheme="minorHAnsi" w:eastAsiaTheme="minorHAnsi" w:hAnsiTheme="minorHAnsi"/>
          <w:color w:val="auto"/>
          <w:sz w:val="20"/>
          <w:szCs w:val="20"/>
          <w:lang w:val="sr-Cyrl-BA" w:eastAsia="en-US"/>
        </w:rPr>
        <w:t xml:space="preserve">. </w:t>
      </w:r>
      <w:r w:rsidR="00BF3550">
        <w:rPr>
          <w:rFonts w:asciiTheme="minorHAnsi" w:eastAsiaTheme="minorHAnsi" w:hAnsiTheme="minorHAnsi"/>
          <w:color w:val="auto"/>
          <w:sz w:val="20"/>
          <w:szCs w:val="20"/>
          <w:lang w:val="sr-Cyrl-BA" w:eastAsia="en-US"/>
        </w:rPr>
        <w:t xml:space="preserve">Наведена гаранција </w:t>
      </w:r>
      <w:r w:rsidR="00670FF0">
        <w:rPr>
          <w:rFonts w:asciiTheme="minorHAnsi" w:eastAsiaTheme="minorHAnsi" w:hAnsiTheme="minorHAnsi"/>
          <w:color w:val="auto"/>
          <w:sz w:val="20"/>
          <w:szCs w:val="20"/>
          <w:lang w:val="sr-Cyrl-BA" w:eastAsia="en-US"/>
        </w:rPr>
        <w:t>ј</w:t>
      </w:r>
      <w:r w:rsidR="00670FF0" w:rsidRPr="00454C9F">
        <w:rPr>
          <w:rFonts w:asciiTheme="minorHAnsi" w:eastAsiaTheme="minorHAnsi" w:hAnsiTheme="minorHAnsi"/>
          <w:color w:val="auto"/>
          <w:sz w:val="20"/>
          <w:szCs w:val="20"/>
          <w:lang w:val="sr-Cyrl-BA" w:eastAsia="en-US"/>
        </w:rPr>
        <w:t>е</w:t>
      </w:r>
      <w:r w:rsidR="00670FF0">
        <w:rPr>
          <w:rFonts w:asciiTheme="minorHAnsi" w:eastAsiaTheme="minorHAnsi" w:hAnsiTheme="minorHAnsi"/>
          <w:color w:val="auto"/>
          <w:sz w:val="20"/>
          <w:szCs w:val="20"/>
          <w:lang w:val="sr-Cyrl-BA" w:eastAsia="en-US"/>
        </w:rPr>
        <w:t xml:space="preserve"> </w:t>
      </w:r>
      <w:r w:rsidR="00670FF0" w:rsidRPr="00454C9F">
        <w:rPr>
          <w:rFonts w:asciiTheme="minorHAnsi" w:eastAsiaTheme="minorHAnsi" w:hAnsiTheme="minorHAnsi"/>
          <w:color w:val="auto"/>
          <w:sz w:val="20"/>
          <w:szCs w:val="20"/>
          <w:lang w:val="sr-Cyrl-BA" w:eastAsia="en-US"/>
        </w:rPr>
        <w:t>издана 2015. године у ном</w:t>
      </w:r>
      <w:r w:rsidR="00670FF0">
        <w:rPr>
          <w:rFonts w:asciiTheme="minorHAnsi" w:eastAsiaTheme="minorHAnsi" w:hAnsiTheme="minorHAnsi"/>
          <w:color w:val="auto"/>
          <w:sz w:val="20"/>
          <w:szCs w:val="20"/>
          <w:lang w:val="sr-Cyrl-BA" w:eastAsia="en-US"/>
        </w:rPr>
        <w:t xml:space="preserve">иналном износу од 670.000,00 КМ </w:t>
      </w:r>
      <w:r w:rsidR="00BF3550">
        <w:rPr>
          <w:rFonts w:asciiTheme="minorHAnsi" w:eastAsiaTheme="minorHAnsi" w:hAnsiTheme="minorHAnsi"/>
          <w:color w:val="auto"/>
          <w:sz w:val="20"/>
          <w:szCs w:val="20"/>
          <w:lang w:val="sr-Cyrl-BA" w:eastAsia="en-US"/>
        </w:rPr>
        <w:t xml:space="preserve">у корист </w:t>
      </w:r>
      <w:r w:rsidR="00CF1455" w:rsidRPr="00CF1455">
        <w:rPr>
          <w:rFonts w:ascii="Calibri" w:hAnsi="Calibri"/>
          <w:color w:val="auto"/>
          <w:sz w:val="20"/>
          <w:szCs w:val="20"/>
        </w:rPr>
        <w:t>Фонд</w:t>
      </w:r>
      <w:r w:rsidR="00BF3550">
        <w:rPr>
          <w:rFonts w:ascii="Calibri" w:hAnsi="Calibri"/>
          <w:color w:val="auto"/>
          <w:sz w:val="20"/>
          <w:szCs w:val="20"/>
          <w:lang w:val="sr-Cyrl-RS"/>
        </w:rPr>
        <w:t>а</w:t>
      </w:r>
      <w:r w:rsidR="00CF1455" w:rsidRPr="00BF3550">
        <w:rPr>
          <w:rFonts w:ascii="Calibri" w:hAnsi="Calibri"/>
          <w:color w:val="auto"/>
          <w:sz w:val="20"/>
          <w:szCs w:val="20"/>
        </w:rPr>
        <w:t xml:space="preserve"> за развој и запошљавање а.д. </w:t>
      </w:r>
      <w:r w:rsidR="00CF1455" w:rsidRPr="00BF3550">
        <w:rPr>
          <w:rFonts w:ascii="Calibri" w:hAnsi="Calibri"/>
          <w:color w:val="auto"/>
          <w:sz w:val="20"/>
          <w:szCs w:val="20"/>
          <w:lang w:val="sr-Cyrl-RS"/>
        </w:rPr>
        <w:t>Бања</w:t>
      </w:r>
      <w:r w:rsidR="00CF1455" w:rsidRPr="00CF1455">
        <w:rPr>
          <w:rFonts w:ascii="Calibri" w:hAnsi="Calibri"/>
          <w:color w:val="auto"/>
          <w:sz w:val="20"/>
          <w:szCs w:val="20"/>
        </w:rPr>
        <w:t xml:space="preserve"> Лука</w:t>
      </w:r>
      <w:r w:rsidR="00BF3550">
        <w:rPr>
          <w:rFonts w:ascii="Calibri" w:hAnsi="Calibri"/>
          <w:color w:val="auto"/>
          <w:sz w:val="20"/>
          <w:szCs w:val="20"/>
          <w:lang w:val="sr-Cyrl-RS"/>
        </w:rPr>
        <w:t xml:space="preserve">, који </w:t>
      </w:r>
      <w:r w:rsidR="00BF3550" w:rsidRPr="00BF3550">
        <w:rPr>
          <w:rFonts w:asciiTheme="minorHAnsi" w:eastAsiaTheme="minorHAnsi" w:hAnsiTheme="minorHAnsi"/>
          <w:color w:val="auto"/>
          <w:sz w:val="20"/>
          <w:szCs w:val="20"/>
          <w:lang w:val="sr-Cyrl-BA" w:eastAsia="en-US"/>
        </w:rPr>
        <w:t>је дана 07.02.2024. године</w:t>
      </w:r>
      <w:r w:rsidR="00670FF0" w:rsidRPr="00670FF0">
        <w:rPr>
          <w:rFonts w:asciiTheme="minorHAnsi" w:eastAsiaTheme="minorHAnsi" w:hAnsiTheme="minorHAnsi"/>
          <w:color w:val="auto"/>
          <w:sz w:val="20"/>
          <w:szCs w:val="20"/>
          <w:lang w:val="sr-Cyrl-BA" w:eastAsia="en-US"/>
        </w:rPr>
        <w:t xml:space="preserve"> </w:t>
      </w:r>
      <w:r w:rsidR="00670FF0">
        <w:rPr>
          <w:rFonts w:asciiTheme="minorHAnsi" w:eastAsiaTheme="minorHAnsi" w:hAnsiTheme="minorHAnsi"/>
          <w:color w:val="auto"/>
          <w:sz w:val="20"/>
          <w:szCs w:val="20"/>
          <w:lang w:val="sr-Cyrl-BA" w:eastAsia="en-US"/>
        </w:rPr>
        <w:t>упутио з</w:t>
      </w:r>
      <w:r w:rsidR="00670FF0" w:rsidRPr="00BF3550">
        <w:rPr>
          <w:rFonts w:asciiTheme="minorHAnsi" w:eastAsiaTheme="minorHAnsi" w:hAnsiTheme="minorHAnsi"/>
          <w:color w:val="auto"/>
          <w:sz w:val="20"/>
          <w:szCs w:val="20"/>
          <w:lang w:val="sr-Cyrl-BA" w:eastAsia="en-US"/>
        </w:rPr>
        <w:t>ахтјев за плаћање</w:t>
      </w:r>
      <w:r w:rsidR="00B44F5F" w:rsidRPr="00BF3550">
        <w:rPr>
          <w:rFonts w:asciiTheme="minorHAnsi" w:eastAsiaTheme="minorHAnsi" w:hAnsiTheme="minorHAnsi"/>
          <w:color w:val="auto"/>
          <w:sz w:val="20"/>
          <w:szCs w:val="20"/>
          <w:lang w:val="sr-Cyrl-BA" w:eastAsia="en-US"/>
        </w:rPr>
        <w:t>.</w:t>
      </w:r>
      <w:r w:rsidR="00B44F5F" w:rsidRPr="00454C9F">
        <w:rPr>
          <w:rFonts w:asciiTheme="minorHAnsi" w:eastAsiaTheme="minorHAnsi" w:hAnsiTheme="minorHAnsi"/>
          <w:color w:val="auto"/>
          <w:sz w:val="20"/>
          <w:szCs w:val="20"/>
          <w:lang w:val="sr-Cyrl-BA" w:eastAsia="en-US"/>
        </w:rPr>
        <w:t xml:space="preserve"> </w:t>
      </w:r>
      <w:r w:rsidR="00BF3550">
        <w:rPr>
          <w:rFonts w:asciiTheme="minorHAnsi" w:eastAsiaTheme="minorHAnsi" w:hAnsiTheme="minorHAnsi"/>
          <w:color w:val="auto"/>
          <w:sz w:val="20"/>
          <w:szCs w:val="20"/>
          <w:lang w:val="sr-Cyrl-BA" w:eastAsia="en-US"/>
        </w:rPr>
        <w:t>Током 2024. године је покренут и</w:t>
      </w:r>
      <w:r w:rsidR="006F6528">
        <w:rPr>
          <w:rFonts w:asciiTheme="minorHAnsi" w:eastAsiaTheme="minorHAnsi" w:hAnsiTheme="minorHAnsi"/>
          <w:color w:val="auto"/>
          <w:sz w:val="20"/>
          <w:szCs w:val="20"/>
          <w:lang w:val="sr-Cyrl-BA" w:eastAsia="en-US"/>
        </w:rPr>
        <w:t>зврш</w:t>
      </w:r>
      <w:r w:rsidR="00BF3550">
        <w:rPr>
          <w:rFonts w:asciiTheme="minorHAnsi" w:eastAsiaTheme="minorHAnsi" w:hAnsiTheme="minorHAnsi"/>
          <w:color w:val="auto"/>
          <w:sz w:val="20"/>
          <w:szCs w:val="20"/>
          <w:lang w:val="sr-Cyrl-BA" w:eastAsia="en-US"/>
        </w:rPr>
        <w:t>н</w:t>
      </w:r>
      <w:r w:rsidR="006F6528">
        <w:rPr>
          <w:rFonts w:asciiTheme="minorHAnsi" w:eastAsiaTheme="minorHAnsi" w:hAnsiTheme="minorHAnsi"/>
          <w:color w:val="auto"/>
          <w:sz w:val="20"/>
          <w:szCs w:val="20"/>
          <w:lang w:val="sr-Cyrl-BA" w:eastAsia="en-US"/>
        </w:rPr>
        <w:t>и поступак</w:t>
      </w:r>
      <w:r w:rsidR="00670FF0">
        <w:rPr>
          <w:rFonts w:asciiTheme="minorHAnsi" w:eastAsiaTheme="minorHAnsi" w:hAnsiTheme="minorHAnsi"/>
          <w:color w:val="auto"/>
          <w:sz w:val="20"/>
          <w:szCs w:val="20"/>
          <w:lang w:val="sr-Cyrl-BA" w:eastAsia="en-US"/>
        </w:rPr>
        <w:t xml:space="preserve"> над имовином дужника, а Гарантни фонд је пријавио своја потраживања и чека окончање поступка.</w:t>
      </w:r>
    </w:p>
    <w:p w:rsidR="008A780A" w:rsidRPr="006F6528" w:rsidRDefault="008A780A" w:rsidP="008A780A">
      <w:pPr>
        <w:autoSpaceDE w:val="0"/>
        <w:autoSpaceDN w:val="0"/>
        <w:adjustRightInd w:val="0"/>
        <w:rPr>
          <w:rFonts w:asciiTheme="minorHAnsi" w:eastAsiaTheme="minorHAnsi" w:hAnsiTheme="minorHAnsi"/>
          <w:color w:val="auto"/>
          <w:sz w:val="20"/>
          <w:szCs w:val="20"/>
          <w:lang w:val="sr-Cyrl-BA" w:eastAsia="en-US"/>
        </w:rPr>
      </w:pPr>
    </w:p>
    <w:p w:rsidR="006F6528" w:rsidRDefault="00876546" w:rsidP="001538EF">
      <w:pPr>
        <w:autoSpaceDE w:val="0"/>
        <w:autoSpaceDN w:val="0"/>
        <w:adjustRightInd w:val="0"/>
        <w:rPr>
          <w:rFonts w:asciiTheme="minorHAnsi" w:eastAsiaTheme="minorHAnsi" w:hAnsiTheme="minorHAnsi"/>
          <w:color w:val="auto"/>
          <w:sz w:val="20"/>
          <w:szCs w:val="20"/>
          <w:lang w:val="sr-Cyrl-BA" w:eastAsia="en-US"/>
        </w:rPr>
      </w:pPr>
      <w:r w:rsidRPr="006F6528">
        <w:rPr>
          <w:rFonts w:asciiTheme="minorHAnsi" w:eastAsiaTheme="minorHAnsi" w:hAnsiTheme="minorHAnsi"/>
          <w:color w:val="auto"/>
          <w:sz w:val="20"/>
          <w:szCs w:val="20"/>
          <w:lang w:val="sr-Cyrl-BA" w:eastAsia="en-US"/>
        </w:rPr>
        <w:t>У складу са Изм</w:t>
      </w:r>
      <w:r w:rsidR="0041746A" w:rsidRPr="006F6528">
        <w:rPr>
          <w:rFonts w:asciiTheme="minorHAnsi" w:eastAsiaTheme="minorHAnsi" w:hAnsiTheme="minorHAnsi"/>
          <w:color w:val="auto"/>
          <w:sz w:val="20"/>
          <w:szCs w:val="20"/>
          <w:lang w:val="sr-Cyrl-BA" w:eastAsia="en-US"/>
        </w:rPr>
        <w:t>јенама и допунама Закона о Гара</w:t>
      </w:r>
      <w:r w:rsidRPr="006F6528">
        <w:rPr>
          <w:rFonts w:asciiTheme="minorHAnsi" w:eastAsiaTheme="minorHAnsi" w:hAnsiTheme="minorHAnsi"/>
          <w:color w:val="auto"/>
          <w:sz w:val="20"/>
          <w:szCs w:val="20"/>
          <w:lang w:val="sr-Cyrl-BA" w:eastAsia="en-US"/>
        </w:rPr>
        <w:t>нт</w:t>
      </w:r>
      <w:r w:rsidR="0041746A" w:rsidRPr="006F6528">
        <w:rPr>
          <w:rFonts w:asciiTheme="minorHAnsi" w:eastAsiaTheme="minorHAnsi" w:hAnsiTheme="minorHAnsi"/>
          <w:color w:val="auto"/>
          <w:sz w:val="20"/>
          <w:szCs w:val="20"/>
          <w:lang w:val="sr-Cyrl-BA" w:eastAsia="en-US"/>
        </w:rPr>
        <w:t>н</w:t>
      </w:r>
      <w:r w:rsidRPr="006F6528">
        <w:rPr>
          <w:rFonts w:asciiTheme="minorHAnsi" w:eastAsiaTheme="minorHAnsi" w:hAnsiTheme="minorHAnsi"/>
          <w:color w:val="auto"/>
          <w:sz w:val="20"/>
          <w:szCs w:val="20"/>
          <w:lang w:val="sr-Cyrl-BA" w:eastAsia="en-US"/>
        </w:rPr>
        <w:t>ом фонду Републике Српске</w:t>
      </w:r>
      <w:r w:rsidR="0041746A" w:rsidRPr="006F6528">
        <w:rPr>
          <w:rFonts w:asciiTheme="minorHAnsi" w:eastAsiaTheme="minorHAnsi" w:hAnsiTheme="minorHAnsi"/>
          <w:color w:val="auto"/>
          <w:sz w:val="20"/>
          <w:szCs w:val="20"/>
          <w:lang w:val="sr-Cyrl-BA" w:eastAsia="en-US"/>
        </w:rPr>
        <w:t xml:space="preserve"> („Службени гласник РС“ број 107/2019),</w:t>
      </w:r>
      <w:r w:rsidRPr="006F6528">
        <w:rPr>
          <w:rFonts w:asciiTheme="minorHAnsi" w:eastAsiaTheme="minorHAnsi" w:hAnsiTheme="minorHAnsi"/>
          <w:color w:val="auto"/>
          <w:sz w:val="20"/>
          <w:szCs w:val="20"/>
          <w:lang w:val="sr-Cyrl-BA" w:eastAsia="en-US"/>
        </w:rPr>
        <w:t xml:space="preserve"> омогућено је издавање гаранција ради дјелимичног обезбјеђења емитованих хартија од вриједности</w:t>
      </w:r>
      <w:r w:rsidR="0071581A" w:rsidRPr="006F6528">
        <w:rPr>
          <w:rFonts w:asciiTheme="minorHAnsi" w:eastAsiaTheme="minorHAnsi" w:hAnsiTheme="minorHAnsi"/>
          <w:color w:val="auto"/>
          <w:sz w:val="20"/>
          <w:szCs w:val="20"/>
          <w:lang w:val="sr-Cyrl-BA" w:eastAsia="en-US"/>
        </w:rPr>
        <w:t>. У складу с тим, г</w:t>
      </w:r>
      <w:r w:rsidRPr="006F6528">
        <w:rPr>
          <w:rFonts w:asciiTheme="minorHAnsi" w:eastAsiaTheme="minorHAnsi" w:hAnsiTheme="minorHAnsi"/>
          <w:color w:val="auto"/>
          <w:sz w:val="20"/>
          <w:szCs w:val="20"/>
          <w:lang w:val="sr-Cyrl-BA" w:eastAsia="en-US"/>
        </w:rPr>
        <w:t xml:space="preserve">аранција за налогодавца Интерлигнум д.о.о. Теслић је издана као дјелимично обезбјеђење емитованих обвезница клијента, а издана је у корист Централног регистра за хартије од вриједности, који има улогу платног агента. Специфичност </w:t>
      </w:r>
      <w:r w:rsidR="0041746A" w:rsidRPr="006F6528">
        <w:rPr>
          <w:rFonts w:asciiTheme="minorHAnsi" w:eastAsiaTheme="minorHAnsi" w:hAnsiTheme="minorHAnsi"/>
          <w:color w:val="auto"/>
          <w:sz w:val="20"/>
          <w:szCs w:val="20"/>
          <w:lang w:val="sr-Cyrl-BA" w:eastAsia="en-US"/>
        </w:rPr>
        <w:t xml:space="preserve">овог </w:t>
      </w:r>
      <w:r w:rsidRPr="006F6528">
        <w:rPr>
          <w:rFonts w:asciiTheme="minorHAnsi" w:eastAsiaTheme="minorHAnsi" w:hAnsiTheme="minorHAnsi"/>
          <w:color w:val="auto"/>
          <w:sz w:val="20"/>
          <w:szCs w:val="20"/>
          <w:lang w:val="sr-Cyrl-BA" w:eastAsia="en-US"/>
        </w:rPr>
        <w:t xml:space="preserve">гарантног посла је у томе што </w:t>
      </w:r>
      <w:r w:rsidR="001D04EC" w:rsidRPr="006F6528">
        <w:rPr>
          <w:rFonts w:asciiTheme="minorHAnsi" w:eastAsiaTheme="minorHAnsi" w:hAnsiTheme="minorHAnsi"/>
          <w:color w:val="auto"/>
          <w:sz w:val="20"/>
          <w:szCs w:val="20"/>
          <w:lang w:val="sr-Cyrl-BA" w:eastAsia="en-US"/>
        </w:rPr>
        <w:t xml:space="preserve">су гаранције везане за мјесечни ануитет, те се издаје </w:t>
      </w:r>
      <w:r w:rsidRPr="006F6528">
        <w:rPr>
          <w:rFonts w:asciiTheme="minorHAnsi" w:eastAsiaTheme="minorHAnsi" w:hAnsiTheme="minorHAnsi"/>
          <w:color w:val="auto"/>
          <w:sz w:val="20"/>
          <w:szCs w:val="20"/>
          <w:lang w:val="sr-Cyrl-BA" w:eastAsia="en-US"/>
        </w:rPr>
        <w:t>појединачна гаранција у вриједности 60% сваког мјесечног ануитета</w:t>
      </w:r>
      <w:r w:rsidR="0071581A" w:rsidRPr="006F6528">
        <w:rPr>
          <w:rFonts w:asciiTheme="minorHAnsi" w:eastAsiaTheme="minorHAnsi" w:hAnsiTheme="minorHAnsi"/>
          <w:color w:val="auto"/>
          <w:sz w:val="20"/>
          <w:szCs w:val="20"/>
          <w:lang w:val="sr-Cyrl-BA" w:eastAsia="en-US"/>
        </w:rPr>
        <w:t>.</w:t>
      </w:r>
      <w:r w:rsidR="001D04EC" w:rsidRPr="006F6528">
        <w:rPr>
          <w:rFonts w:asciiTheme="minorHAnsi" w:eastAsiaTheme="minorHAnsi" w:hAnsiTheme="minorHAnsi"/>
          <w:color w:val="auto"/>
          <w:sz w:val="20"/>
          <w:szCs w:val="20"/>
          <w:lang w:val="sr-Cyrl-BA" w:eastAsia="en-US"/>
        </w:rPr>
        <w:t xml:space="preserve"> Иако је дефинисана јединствена гаранција на нивоу цјелок</w:t>
      </w:r>
      <w:r w:rsidR="00E50755" w:rsidRPr="006F6528">
        <w:rPr>
          <w:rFonts w:asciiTheme="minorHAnsi" w:eastAsiaTheme="minorHAnsi" w:hAnsiTheme="minorHAnsi"/>
          <w:color w:val="auto"/>
          <w:sz w:val="20"/>
          <w:szCs w:val="20"/>
          <w:lang w:val="sr-Cyrl-BA" w:eastAsia="en-US"/>
        </w:rPr>
        <w:t>упне емисије, у стварности има</w:t>
      </w:r>
      <w:r w:rsidR="001D04EC" w:rsidRPr="006F6528">
        <w:rPr>
          <w:rFonts w:asciiTheme="minorHAnsi" w:eastAsiaTheme="minorHAnsi" w:hAnsiTheme="minorHAnsi"/>
          <w:color w:val="auto"/>
          <w:sz w:val="20"/>
          <w:szCs w:val="20"/>
          <w:lang w:val="sr-Cyrl-BA" w:eastAsia="en-US"/>
        </w:rPr>
        <w:t xml:space="preserve"> онолико гаранција колико има мјесечних ануитета.</w:t>
      </w:r>
      <w:r w:rsidR="0071581A" w:rsidRPr="006F6528">
        <w:rPr>
          <w:rFonts w:asciiTheme="minorHAnsi" w:eastAsiaTheme="minorHAnsi" w:hAnsiTheme="minorHAnsi"/>
          <w:color w:val="auto"/>
          <w:sz w:val="20"/>
          <w:szCs w:val="20"/>
          <w:lang w:val="sr-Cyrl-BA" w:eastAsia="en-US"/>
        </w:rPr>
        <w:t xml:space="preserve"> </w:t>
      </w:r>
    </w:p>
    <w:p w:rsidR="00412718" w:rsidRDefault="00412718" w:rsidP="001538EF">
      <w:pPr>
        <w:autoSpaceDE w:val="0"/>
        <w:autoSpaceDN w:val="0"/>
        <w:adjustRightInd w:val="0"/>
        <w:rPr>
          <w:rFonts w:asciiTheme="minorHAnsi" w:eastAsiaTheme="minorHAnsi" w:hAnsiTheme="minorHAnsi"/>
          <w:color w:val="auto"/>
          <w:sz w:val="20"/>
          <w:szCs w:val="20"/>
          <w:lang w:val="sr-Cyrl-BA" w:eastAsia="en-US"/>
        </w:rPr>
      </w:pPr>
    </w:p>
    <w:p w:rsidR="001D04EC" w:rsidRDefault="00714BA7" w:rsidP="001538EF">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 xml:space="preserve">Проблеми у пословању су </w:t>
      </w:r>
      <w:r w:rsidR="00F218B1">
        <w:rPr>
          <w:rFonts w:asciiTheme="minorHAnsi" w:eastAsiaTheme="minorHAnsi" w:hAnsiTheme="minorHAnsi"/>
          <w:color w:val="auto"/>
          <w:sz w:val="20"/>
          <w:szCs w:val="20"/>
          <w:lang w:val="sr-Cyrl-BA" w:eastAsia="en-US"/>
        </w:rPr>
        <w:t>довели до тога да је клијент к</w:t>
      </w:r>
      <w:r w:rsidR="006F6528" w:rsidRPr="007B3B64">
        <w:rPr>
          <w:rFonts w:asciiTheme="minorHAnsi" w:eastAsiaTheme="minorHAnsi" w:hAnsiTheme="minorHAnsi"/>
          <w:color w:val="auto"/>
          <w:sz w:val="20"/>
          <w:szCs w:val="20"/>
          <w:lang w:val="sr-Cyrl-BA" w:eastAsia="en-US"/>
        </w:rPr>
        <w:t xml:space="preserve">рајем 2023. године престао </w:t>
      </w:r>
      <w:r w:rsidR="007B3B64" w:rsidRPr="007B3B64">
        <w:rPr>
          <w:rFonts w:asciiTheme="minorHAnsi" w:eastAsiaTheme="minorHAnsi" w:hAnsiTheme="minorHAnsi"/>
          <w:color w:val="auto"/>
          <w:sz w:val="20"/>
          <w:szCs w:val="20"/>
          <w:lang w:val="sr-Cyrl-BA" w:eastAsia="en-US"/>
        </w:rPr>
        <w:t>измиривати обавезе</w:t>
      </w:r>
      <w:r w:rsidR="006F6528" w:rsidRPr="007B3B64">
        <w:rPr>
          <w:rFonts w:asciiTheme="minorHAnsi" w:eastAsiaTheme="minorHAnsi" w:hAnsiTheme="minorHAnsi"/>
          <w:color w:val="auto"/>
          <w:sz w:val="20"/>
          <w:szCs w:val="20"/>
          <w:lang w:val="sr-Cyrl-BA" w:eastAsia="en-US"/>
        </w:rPr>
        <w:t xml:space="preserve"> по основу емитованих хартија од вриједности. </w:t>
      </w:r>
      <w:r w:rsidR="007B3B64" w:rsidRPr="007B3B64">
        <w:rPr>
          <w:rFonts w:asciiTheme="minorHAnsi" w:eastAsiaTheme="minorHAnsi" w:hAnsiTheme="minorHAnsi"/>
          <w:color w:val="auto"/>
          <w:sz w:val="20"/>
          <w:szCs w:val="20"/>
          <w:lang w:val="sr-Cyrl-BA" w:eastAsia="en-US"/>
        </w:rPr>
        <w:t xml:space="preserve">Централни регистар је </w:t>
      </w:r>
      <w:r w:rsidR="00670FF0">
        <w:rPr>
          <w:rFonts w:asciiTheme="minorHAnsi" w:eastAsiaTheme="minorHAnsi" w:hAnsiTheme="minorHAnsi"/>
          <w:color w:val="auto"/>
          <w:sz w:val="20"/>
          <w:szCs w:val="20"/>
          <w:lang w:val="sr-Cyrl-BA" w:eastAsia="en-US"/>
        </w:rPr>
        <w:t xml:space="preserve">активирао постојеће инструменте обезбјеђења и </w:t>
      </w:r>
      <w:r w:rsidR="007B3B64" w:rsidRPr="007B3B64">
        <w:rPr>
          <w:rFonts w:asciiTheme="minorHAnsi" w:eastAsiaTheme="minorHAnsi" w:hAnsiTheme="minorHAnsi"/>
          <w:color w:val="auto"/>
          <w:sz w:val="20"/>
          <w:szCs w:val="20"/>
          <w:lang w:val="sr-Cyrl-BA" w:eastAsia="en-US"/>
        </w:rPr>
        <w:t>извршио протест свих 12 гаранција које су издане као дјелимично обезбјеђење мјесечних</w:t>
      </w:r>
      <w:r w:rsidR="00092F95">
        <w:rPr>
          <w:rFonts w:asciiTheme="minorHAnsi" w:eastAsiaTheme="minorHAnsi" w:hAnsiTheme="minorHAnsi"/>
          <w:color w:val="auto"/>
          <w:sz w:val="20"/>
          <w:szCs w:val="20"/>
          <w:lang w:val="sr-Cyrl-BA" w:eastAsia="en-US"/>
        </w:rPr>
        <w:t xml:space="preserve"> ануитета у 2024. години</w:t>
      </w:r>
      <w:r w:rsidR="00670FF0">
        <w:rPr>
          <w:rFonts w:asciiTheme="minorHAnsi" w:eastAsiaTheme="minorHAnsi" w:hAnsiTheme="minorHAnsi"/>
          <w:color w:val="auto"/>
          <w:sz w:val="20"/>
          <w:szCs w:val="20"/>
          <w:lang w:val="sr-Cyrl-BA" w:eastAsia="en-US"/>
        </w:rPr>
        <w:t xml:space="preserve">. </w:t>
      </w:r>
      <w:r w:rsidR="007B3B64">
        <w:rPr>
          <w:rFonts w:asciiTheme="minorHAnsi" w:eastAsiaTheme="minorHAnsi" w:hAnsiTheme="minorHAnsi"/>
          <w:color w:val="auto"/>
          <w:sz w:val="20"/>
          <w:szCs w:val="20"/>
          <w:lang w:val="sr-Cyrl-BA" w:eastAsia="en-US"/>
        </w:rPr>
        <w:t xml:space="preserve">Гарантни фонд </w:t>
      </w:r>
      <w:r w:rsidR="00670FF0">
        <w:rPr>
          <w:rFonts w:asciiTheme="minorHAnsi" w:eastAsiaTheme="minorHAnsi" w:hAnsiTheme="minorHAnsi"/>
          <w:color w:val="auto"/>
          <w:sz w:val="20"/>
          <w:szCs w:val="20"/>
          <w:lang w:val="sr-Cyrl-BA" w:eastAsia="en-US"/>
        </w:rPr>
        <w:t xml:space="preserve">је </w:t>
      </w:r>
      <w:r w:rsidR="007B3B64" w:rsidRPr="007B3B64">
        <w:rPr>
          <w:rFonts w:asciiTheme="minorHAnsi" w:eastAsiaTheme="minorHAnsi" w:hAnsiTheme="minorHAnsi"/>
          <w:color w:val="auto"/>
          <w:sz w:val="20"/>
          <w:szCs w:val="20"/>
          <w:lang w:val="sr-Cyrl-BA" w:eastAsia="en-US"/>
        </w:rPr>
        <w:t xml:space="preserve">по овом основу </w:t>
      </w:r>
      <w:r w:rsidR="00670FF0">
        <w:rPr>
          <w:rFonts w:asciiTheme="minorHAnsi" w:eastAsiaTheme="minorHAnsi" w:hAnsiTheme="minorHAnsi"/>
          <w:color w:val="auto"/>
          <w:sz w:val="20"/>
          <w:szCs w:val="20"/>
          <w:lang w:val="sr-Cyrl-BA" w:eastAsia="en-US"/>
        </w:rPr>
        <w:t xml:space="preserve">током 2024. године </w:t>
      </w:r>
      <w:r w:rsidR="007B3B64">
        <w:rPr>
          <w:rFonts w:asciiTheme="minorHAnsi" w:eastAsiaTheme="minorHAnsi" w:hAnsiTheme="minorHAnsi"/>
          <w:color w:val="auto"/>
          <w:sz w:val="20"/>
          <w:szCs w:val="20"/>
          <w:lang w:val="sr-Cyrl-BA" w:eastAsia="en-US"/>
        </w:rPr>
        <w:t xml:space="preserve">платио износ од  </w:t>
      </w:r>
      <w:r w:rsidR="00017AE1">
        <w:rPr>
          <w:rFonts w:asciiTheme="minorHAnsi" w:eastAsiaTheme="minorHAnsi" w:hAnsiTheme="minorHAnsi"/>
          <w:color w:val="auto"/>
          <w:sz w:val="20"/>
          <w:szCs w:val="20"/>
          <w:lang w:val="sr-Cyrl-BA" w:eastAsia="en-US"/>
        </w:rPr>
        <w:t>220.800,33</w:t>
      </w:r>
      <w:r w:rsidR="007B3B64" w:rsidRPr="007B3B64">
        <w:rPr>
          <w:rFonts w:asciiTheme="minorHAnsi" w:eastAsiaTheme="minorHAnsi" w:hAnsiTheme="minorHAnsi"/>
          <w:color w:val="auto"/>
          <w:sz w:val="20"/>
          <w:szCs w:val="20"/>
          <w:lang w:val="sr-Cyrl-BA" w:eastAsia="en-US"/>
        </w:rPr>
        <w:t xml:space="preserve"> КМ</w:t>
      </w:r>
      <w:r w:rsidR="007B3B64">
        <w:rPr>
          <w:rFonts w:asciiTheme="minorHAnsi" w:eastAsiaTheme="minorHAnsi" w:hAnsiTheme="minorHAnsi"/>
          <w:color w:val="auto"/>
          <w:sz w:val="20"/>
          <w:szCs w:val="20"/>
          <w:lang w:val="sr-Cyrl-BA" w:eastAsia="en-US"/>
        </w:rPr>
        <w:t>. Над фирмом Интерлигнум је покренут стечајни поступак</w:t>
      </w:r>
      <w:r w:rsidR="00222447">
        <w:rPr>
          <w:rFonts w:asciiTheme="minorHAnsi" w:eastAsiaTheme="minorHAnsi" w:hAnsiTheme="minorHAnsi"/>
          <w:color w:val="auto"/>
          <w:sz w:val="20"/>
          <w:szCs w:val="20"/>
          <w:lang w:val="sr-Cyrl-BA" w:eastAsia="en-US"/>
        </w:rPr>
        <w:t xml:space="preserve"> у фебруару 2025. године</w:t>
      </w:r>
      <w:r w:rsidR="007B3B64">
        <w:rPr>
          <w:rFonts w:asciiTheme="minorHAnsi" w:eastAsiaTheme="minorHAnsi" w:hAnsiTheme="minorHAnsi"/>
          <w:color w:val="auto"/>
          <w:sz w:val="20"/>
          <w:szCs w:val="20"/>
          <w:lang w:val="sr-Cyrl-BA" w:eastAsia="en-US"/>
        </w:rPr>
        <w:t xml:space="preserve">, а Гарантни фонд је пријавио своја потраживања и чека окончање </w:t>
      </w:r>
      <w:r w:rsidR="0043783E">
        <w:rPr>
          <w:rFonts w:asciiTheme="minorHAnsi" w:eastAsiaTheme="minorHAnsi" w:hAnsiTheme="minorHAnsi"/>
          <w:color w:val="auto"/>
          <w:sz w:val="20"/>
          <w:szCs w:val="20"/>
          <w:lang w:val="sr-Cyrl-BA" w:eastAsia="en-US"/>
        </w:rPr>
        <w:t xml:space="preserve">судског </w:t>
      </w:r>
      <w:r w:rsidR="007B3B64">
        <w:rPr>
          <w:rFonts w:asciiTheme="minorHAnsi" w:eastAsiaTheme="minorHAnsi" w:hAnsiTheme="minorHAnsi"/>
          <w:color w:val="auto"/>
          <w:sz w:val="20"/>
          <w:szCs w:val="20"/>
          <w:lang w:val="sr-Cyrl-BA" w:eastAsia="en-US"/>
        </w:rPr>
        <w:t>поступка.</w:t>
      </w:r>
    </w:p>
    <w:p w:rsidR="00017AE1" w:rsidRDefault="00017AE1" w:rsidP="001538EF">
      <w:pPr>
        <w:autoSpaceDE w:val="0"/>
        <w:autoSpaceDN w:val="0"/>
        <w:adjustRightInd w:val="0"/>
        <w:rPr>
          <w:rFonts w:asciiTheme="minorHAnsi" w:eastAsiaTheme="minorHAnsi" w:hAnsiTheme="minorHAnsi"/>
          <w:color w:val="auto"/>
          <w:sz w:val="20"/>
          <w:szCs w:val="20"/>
          <w:lang w:val="sr-Cyrl-BA" w:eastAsia="en-US"/>
        </w:rPr>
      </w:pPr>
    </w:p>
    <w:p w:rsidR="00412718" w:rsidRDefault="00017AE1" w:rsidP="001538EF">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За клијента ДИ Шипово је плаћена једна гаранција по основу емитованих хартија од вриједности у износу од 6.834,28 КМ, при чему је наведени износ наплаћен активира</w:t>
      </w:r>
      <w:r w:rsidR="00222447">
        <w:rPr>
          <w:rFonts w:asciiTheme="minorHAnsi" w:eastAsiaTheme="minorHAnsi" w:hAnsiTheme="minorHAnsi"/>
          <w:color w:val="auto"/>
          <w:sz w:val="20"/>
          <w:szCs w:val="20"/>
          <w:lang w:val="sr-Cyrl-BA" w:eastAsia="en-US"/>
        </w:rPr>
        <w:t>њем мјенице и блокадом дужника</w:t>
      </w:r>
      <w:r w:rsidR="00077D9C">
        <w:rPr>
          <w:rFonts w:asciiTheme="minorHAnsi" w:eastAsiaTheme="minorHAnsi" w:hAnsiTheme="minorHAnsi"/>
          <w:color w:val="auto"/>
          <w:sz w:val="20"/>
          <w:szCs w:val="20"/>
          <w:lang w:val="sr-Cyrl-BA" w:eastAsia="en-US"/>
        </w:rPr>
        <w:t>.</w:t>
      </w:r>
    </w:p>
    <w:p w:rsidR="00D01BB3" w:rsidRDefault="00D01BB3" w:rsidP="001538EF">
      <w:pPr>
        <w:autoSpaceDE w:val="0"/>
        <w:autoSpaceDN w:val="0"/>
        <w:adjustRightInd w:val="0"/>
        <w:rPr>
          <w:rFonts w:asciiTheme="minorHAnsi" w:eastAsiaTheme="minorHAnsi" w:hAnsiTheme="minorHAnsi"/>
          <w:color w:val="auto"/>
          <w:sz w:val="20"/>
          <w:szCs w:val="20"/>
          <w:lang w:val="sr-Cyrl-BA" w:eastAsia="en-US"/>
        </w:rPr>
      </w:pPr>
    </w:p>
    <w:p w:rsidR="00092F95" w:rsidRPr="007B3B64" w:rsidRDefault="00092F95" w:rsidP="001538EF">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У оквиру кредитног портфеља су протестоване и плаћене двије гаранције, а по овом основу је плаћен износ од 56.323,90 КМ у корист МФ банке као корисника гаранција.</w:t>
      </w:r>
    </w:p>
    <w:tbl>
      <w:tblPr>
        <w:tblpPr w:leftFromText="180" w:rightFromText="180" w:vertAnchor="text" w:horzAnchor="margin" w:tblpX="108" w:tblpY="103"/>
        <w:tblW w:w="8755" w:type="dxa"/>
        <w:tblLook w:val="04A0" w:firstRow="1" w:lastRow="0" w:firstColumn="1" w:lastColumn="0" w:noHBand="0" w:noVBand="1"/>
      </w:tblPr>
      <w:tblGrid>
        <w:gridCol w:w="2235"/>
        <w:gridCol w:w="2268"/>
        <w:gridCol w:w="2268"/>
        <w:gridCol w:w="1984"/>
      </w:tblGrid>
      <w:tr w:rsidR="00444987" w:rsidRPr="003D7300" w:rsidTr="008E0518">
        <w:trPr>
          <w:trHeight w:val="570"/>
        </w:trPr>
        <w:tc>
          <w:tcPr>
            <w:tcW w:w="8755" w:type="dxa"/>
            <w:gridSpan w:val="4"/>
            <w:tcBorders>
              <w:top w:val="nil"/>
              <w:left w:val="nil"/>
              <w:bottom w:val="nil"/>
              <w:right w:val="nil"/>
            </w:tcBorders>
            <w:shd w:val="clear" w:color="000000" w:fill="FFFFFF"/>
            <w:vAlign w:val="center"/>
          </w:tcPr>
          <w:p w:rsidR="00444987" w:rsidRPr="008B5A35" w:rsidRDefault="00444987" w:rsidP="00BE15F9">
            <w:pPr>
              <w:jc w:val="left"/>
              <w:rPr>
                <w:rFonts w:asciiTheme="minorHAnsi" w:hAnsiTheme="minorHAnsi"/>
                <w:b/>
                <w:bCs/>
                <w:color w:val="000000" w:themeColor="text1"/>
                <w:sz w:val="20"/>
                <w:szCs w:val="20"/>
                <w:lang w:val="sr-Cyrl-BA" w:eastAsia="sr-Latn-RS"/>
              </w:rPr>
            </w:pPr>
          </w:p>
          <w:tbl>
            <w:tblPr>
              <w:tblW w:w="8006" w:type="dxa"/>
              <w:tblInd w:w="108" w:type="dxa"/>
              <w:tblLook w:val="04A0" w:firstRow="1" w:lastRow="0" w:firstColumn="1" w:lastColumn="0" w:noHBand="0" w:noVBand="1"/>
            </w:tblPr>
            <w:tblGrid>
              <w:gridCol w:w="8006"/>
            </w:tblGrid>
            <w:tr w:rsidR="008B5A35" w:rsidRPr="008B5A35" w:rsidTr="002A1C02">
              <w:trPr>
                <w:trHeight w:val="465"/>
              </w:trPr>
              <w:tc>
                <w:tcPr>
                  <w:tcW w:w="8006" w:type="dxa"/>
                  <w:tcBorders>
                    <w:top w:val="nil"/>
                    <w:left w:val="nil"/>
                    <w:bottom w:val="nil"/>
                    <w:right w:val="nil"/>
                  </w:tcBorders>
                  <w:shd w:val="clear" w:color="000000" w:fill="FFFFFF"/>
                  <w:vAlign w:val="center"/>
                  <w:hideMark/>
                </w:tcPr>
                <w:p w:rsidR="00444987" w:rsidRPr="008B5A35" w:rsidRDefault="00444987" w:rsidP="002E4B9F">
                  <w:pPr>
                    <w:framePr w:hSpace="180" w:wrap="around" w:vAnchor="text" w:hAnchor="margin" w:x="108" w:y="103"/>
                    <w:jc w:val="center"/>
                    <w:rPr>
                      <w:rFonts w:asciiTheme="minorHAnsi" w:hAnsiTheme="minorHAnsi"/>
                      <w:b/>
                      <w:bCs/>
                      <w:color w:val="000000" w:themeColor="text1"/>
                      <w:sz w:val="20"/>
                      <w:szCs w:val="20"/>
                      <w:lang w:val="sr-Cyrl-RS" w:eastAsia="sr-Latn-RS"/>
                    </w:rPr>
                  </w:pPr>
                  <w:r w:rsidRPr="008B5A35">
                    <w:rPr>
                      <w:rFonts w:asciiTheme="minorHAnsi" w:hAnsiTheme="minorHAnsi"/>
                      <w:b/>
                      <w:bCs/>
                      <w:color w:val="000000" w:themeColor="text1"/>
                      <w:sz w:val="20"/>
                      <w:szCs w:val="20"/>
                      <w:lang w:val="sr-Cyrl-RS" w:eastAsia="sr-Latn-RS"/>
                    </w:rPr>
                    <w:t xml:space="preserve">         </w:t>
                  </w:r>
                  <w:r w:rsidRPr="008B5A35">
                    <w:rPr>
                      <w:rFonts w:asciiTheme="minorHAnsi" w:hAnsiTheme="minorHAnsi"/>
                      <w:b/>
                      <w:bCs/>
                      <w:color w:val="000000" w:themeColor="text1"/>
                      <w:sz w:val="20"/>
                      <w:szCs w:val="20"/>
                      <w:lang w:val="sr-Latn-RS" w:eastAsia="sr-Latn-RS"/>
                    </w:rPr>
                    <w:t>Кумулативни преглед издан</w:t>
                  </w:r>
                  <w:r w:rsidRPr="008B5A35">
                    <w:rPr>
                      <w:rFonts w:asciiTheme="minorHAnsi" w:hAnsiTheme="minorHAnsi"/>
                      <w:b/>
                      <w:bCs/>
                      <w:color w:val="000000" w:themeColor="text1"/>
                      <w:sz w:val="20"/>
                      <w:szCs w:val="20"/>
                      <w:lang w:val="sr-Cyrl-BA" w:eastAsia="sr-Latn-RS"/>
                    </w:rPr>
                    <w:t>и</w:t>
                  </w:r>
                  <w:r w:rsidRPr="008B5A35">
                    <w:rPr>
                      <w:rFonts w:asciiTheme="minorHAnsi" w:hAnsiTheme="minorHAnsi"/>
                      <w:b/>
                      <w:bCs/>
                      <w:color w:val="000000" w:themeColor="text1"/>
                      <w:sz w:val="20"/>
                      <w:szCs w:val="20"/>
                      <w:lang w:val="sr-Latn-RS" w:eastAsia="sr-Latn-RS"/>
                    </w:rPr>
                    <w:t xml:space="preserve">х гаранција </w:t>
                  </w:r>
                  <w:r w:rsidRPr="008B5A35">
                    <w:rPr>
                      <w:rFonts w:asciiTheme="minorHAnsi" w:hAnsiTheme="minorHAnsi"/>
                      <w:b/>
                      <w:bCs/>
                      <w:color w:val="000000" w:themeColor="text1"/>
                      <w:sz w:val="20"/>
                      <w:szCs w:val="20"/>
                      <w:lang w:val="sr-Cyrl-RS" w:eastAsia="sr-Latn-RS"/>
                    </w:rPr>
                    <w:t>у</w:t>
                  </w:r>
                  <w:r w:rsidRPr="008B5A35">
                    <w:rPr>
                      <w:rFonts w:asciiTheme="minorHAnsi" w:hAnsiTheme="minorHAnsi"/>
                      <w:b/>
                      <w:bCs/>
                      <w:color w:val="000000" w:themeColor="text1"/>
                      <w:sz w:val="20"/>
                      <w:szCs w:val="20"/>
                      <w:lang w:val="sr-Latn-RS" w:eastAsia="sr-Latn-RS"/>
                    </w:rPr>
                    <w:t xml:space="preserve"> </w:t>
                  </w:r>
                  <w:r w:rsidRPr="008B5A35">
                    <w:rPr>
                      <w:rFonts w:asciiTheme="minorHAnsi" w:hAnsiTheme="minorHAnsi"/>
                      <w:b/>
                      <w:bCs/>
                      <w:color w:val="000000" w:themeColor="text1"/>
                      <w:sz w:val="20"/>
                      <w:szCs w:val="20"/>
                      <w:lang w:val="sr-Cyrl-RS" w:eastAsia="sr-Latn-RS"/>
                    </w:rPr>
                    <w:t xml:space="preserve">оквиру гарантних линија у </w:t>
                  </w:r>
                  <w:r w:rsidRPr="008B5A35">
                    <w:rPr>
                      <w:rFonts w:asciiTheme="minorHAnsi" w:hAnsiTheme="minorHAnsi"/>
                      <w:b/>
                      <w:bCs/>
                      <w:color w:val="000000" w:themeColor="text1"/>
                      <w:sz w:val="20"/>
                      <w:szCs w:val="20"/>
                      <w:lang w:val="sr-Latn-RS" w:eastAsia="sr-Latn-RS"/>
                    </w:rPr>
                    <w:t>период</w:t>
                  </w:r>
                  <w:r w:rsidRPr="008B5A35">
                    <w:rPr>
                      <w:rFonts w:asciiTheme="minorHAnsi" w:hAnsiTheme="minorHAnsi"/>
                      <w:b/>
                      <w:bCs/>
                      <w:color w:val="000000" w:themeColor="text1"/>
                      <w:sz w:val="20"/>
                      <w:szCs w:val="20"/>
                      <w:lang w:val="sr-Cyrl-RS" w:eastAsia="sr-Latn-RS"/>
                    </w:rPr>
                    <w:t>у</w:t>
                  </w:r>
                  <w:r w:rsidRPr="008B5A35">
                    <w:rPr>
                      <w:rFonts w:asciiTheme="minorHAnsi" w:hAnsiTheme="minorHAnsi"/>
                      <w:b/>
                      <w:bCs/>
                      <w:color w:val="000000" w:themeColor="text1"/>
                      <w:sz w:val="20"/>
                      <w:szCs w:val="20"/>
                      <w:lang w:val="sr-Latn-RS" w:eastAsia="sr-Latn-RS"/>
                    </w:rPr>
                    <w:t xml:space="preserve"> </w:t>
                  </w:r>
                </w:p>
                <w:p w:rsidR="00444987" w:rsidRPr="008B5A35" w:rsidRDefault="00444987" w:rsidP="002E4B9F">
                  <w:pPr>
                    <w:framePr w:hSpace="180" w:wrap="around" w:vAnchor="text" w:hAnchor="margin" w:x="108" w:y="103"/>
                    <w:jc w:val="center"/>
                    <w:rPr>
                      <w:rFonts w:asciiTheme="minorHAnsi" w:hAnsiTheme="minorHAnsi"/>
                      <w:b/>
                      <w:bCs/>
                      <w:color w:val="000000" w:themeColor="text1"/>
                      <w:sz w:val="20"/>
                      <w:szCs w:val="20"/>
                      <w:lang w:val="sr-Latn-RS" w:eastAsia="sr-Latn-RS"/>
                    </w:rPr>
                  </w:pPr>
                  <w:r w:rsidRPr="008B5A35">
                    <w:rPr>
                      <w:rFonts w:asciiTheme="minorHAnsi" w:hAnsiTheme="minorHAnsi"/>
                      <w:b/>
                      <w:bCs/>
                      <w:color w:val="000000" w:themeColor="text1"/>
                      <w:sz w:val="20"/>
                      <w:szCs w:val="20"/>
                      <w:lang w:val="sr-Latn-RS" w:eastAsia="sr-Latn-RS"/>
                    </w:rPr>
                    <w:t>201</w:t>
                  </w:r>
                  <w:r w:rsidR="00C71500" w:rsidRPr="008B5A35">
                    <w:rPr>
                      <w:rFonts w:asciiTheme="minorHAnsi" w:hAnsiTheme="minorHAnsi"/>
                      <w:b/>
                      <w:bCs/>
                      <w:color w:val="000000" w:themeColor="text1"/>
                      <w:sz w:val="20"/>
                      <w:szCs w:val="20"/>
                      <w:lang w:val="sr-Cyrl-RS" w:eastAsia="sr-Latn-RS"/>
                    </w:rPr>
                    <w:t>1</w:t>
                  </w:r>
                  <w:r w:rsidRPr="008B5A35">
                    <w:rPr>
                      <w:rFonts w:asciiTheme="minorHAnsi" w:hAnsiTheme="minorHAnsi"/>
                      <w:b/>
                      <w:bCs/>
                      <w:color w:val="000000" w:themeColor="text1"/>
                      <w:sz w:val="20"/>
                      <w:szCs w:val="20"/>
                      <w:lang w:val="sr-Latn-RS" w:eastAsia="sr-Latn-RS"/>
                    </w:rPr>
                    <w:t>. - 202</w:t>
                  </w:r>
                  <w:r w:rsidR="008B5A35" w:rsidRPr="008B5A35">
                    <w:rPr>
                      <w:rFonts w:asciiTheme="minorHAnsi" w:hAnsiTheme="minorHAnsi"/>
                      <w:b/>
                      <w:bCs/>
                      <w:color w:val="000000" w:themeColor="text1"/>
                      <w:sz w:val="20"/>
                      <w:szCs w:val="20"/>
                      <w:lang w:eastAsia="sr-Latn-RS"/>
                    </w:rPr>
                    <w:t>4</w:t>
                  </w:r>
                  <w:r w:rsidRPr="008B5A35">
                    <w:rPr>
                      <w:rFonts w:asciiTheme="minorHAnsi" w:hAnsiTheme="minorHAnsi"/>
                      <w:b/>
                      <w:bCs/>
                      <w:color w:val="000000" w:themeColor="text1"/>
                      <w:sz w:val="20"/>
                      <w:szCs w:val="20"/>
                      <w:lang w:val="sr-Latn-RS" w:eastAsia="sr-Latn-RS"/>
                    </w:rPr>
                    <w:t>. година</w:t>
                  </w:r>
                </w:p>
              </w:tc>
            </w:tr>
          </w:tbl>
          <w:p w:rsidR="00444987" w:rsidRPr="008B5A35" w:rsidRDefault="00444987" w:rsidP="00BE15F9">
            <w:pPr>
              <w:jc w:val="left"/>
              <w:rPr>
                <w:rFonts w:asciiTheme="minorHAnsi" w:hAnsiTheme="minorHAnsi"/>
                <w:b/>
                <w:bCs/>
                <w:color w:val="000000" w:themeColor="text1"/>
                <w:sz w:val="20"/>
                <w:szCs w:val="20"/>
                <w:lang w:val="sr-Cyrl-BA" w:eastAsia="sr-Latn-RS"/>
              </w:rPr>
            </w:pPr>
          </w:p>
        </w:tc>
      </w:tr>
      <w:tr w:rsidR="00444987" w:rsidRPr="003D7300" w:rsidTr="00BE15F9">
        <w:trPr>
          <w:trHeight w:val="267"/>
        </w:trPr>
        <w:tc>
          <w:tcPr>
            <w:tcW w:w="8755" w:type="dxa"/>
            <w:gridSpan w:val="4"/>
            <w:tcBorders>
              <w:top w:val="nil"/>
              <w:left w:val="nil"/>
              <w:bottom w:val="nil"/>
              <w:right w:val="nil"/>
            </w:tcBorders>
            <w:shd w:val="clear" w:color="000000" w:fill="FFFFFF"/>
            <w:vAlign w:val="center"/>
          </w:tcPr>
          <w:p w:rsidR="00222447" w:rsidRDefault="00222447" w:rsidP="00226538">
            <w:pPr>
              <w:jc w:val="right"/>
              <w:rPr>
                <w:rFonts w:asciiTheme="minorHAnsi" w:hAnsiTheme="minorHAnsi"/>
                <w:b/>
                <w:bCs/>
                <w:color w:val="000000" w:themeColor="text1"/>
                <w:sz w:val="20"/>
                <w:szCs w:val="20"/>
                <w:lang w:val="sr-Cyrl-BA" w:eastAsia="sr-Latn-RS"/>
              </w:rPr>
            </w:pPr>
          </w:p>
          <w:p w:rsidR="00444987" w:rsidRPr="008B5A35" w:rsidRDefault="00444987" w:rsidP="00226538">
            <w:pPr>
              <w:jc w:val="right"/>
              <w:rPr>
                <w:rFonts w:asciiTheme="minorHAnsi" w:hAnsiTheme="minorHAnsi"/>
                <w:b/>
                <w:bCs/>
                <w:color w:val="000000" w:themeColor="text1"/>
                <w:sz w:val="20"/>
                <w:szCs w:val="20"/>
                <w:lang w:val="sr-Cyrl-BA" w:eastAsia="sr-Latn-RS"/>
              </w:rPr>
            </w:pPr>
            <w:r w:rsidRPr="008B5A35">
              <w:rPr>
                <w:rFonts w:asciiTheme="minorHAnsi" w:hAnsiTheme="minorHAnsi"/>
                <w:b/>
                <w:bCs/>
                <w:color w:val="000000" w:themeColor="text1"/>
                <w:sz w:val="20"/>
                <w:szCs w:val="20"/>
                <w:lang w:val="sr-Cyrl-BA" w:eastAsia="sr-Latn-RS"/>
              </w:rPr>
              <w:t xml:space="preserve">Tабела </w:t>
            </w:r>
            <w:r w:rsidR="00226538">
              <w:rPr>
                <w:rFonts w:asciiTheme="minorHAnsi" w:hAnsiTheme="minorHAnsi"/>
                <w:b/>
                <w:bCs/>
                <w:color w:val="000000" w:themeColor="text1"/>
                <w:sz w:val="20"/>
                <w:szCs w:val="20"/>
                <w:lang w:val="sr-Cyrl-BA" w:eastAsia="sr-Latn-RS"/>
              </w:rPr>
              <w:t>3</w:t>
            </w:r>
          </w:p>
        </w:tc>
      </w:tr>
      <w:tr w:rsidR="00444987" w:rsidRPr="003D7300" w:rsidTr="00BE15F9">
        <w:trPr>
          <w:trHeight w:val="377"/>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444987" w:rsidRPr="008B5A35" w:rsidRDefault="00444987" w:rsidP="00BE15F9">
            <w:pPr>
              <w:jc w:val="center"/>
              <w:rPr>
                <w:rFonts w:asciiTheme="minorHAnsi" w:hAnsiTheme="minorHAnsi"/>
                <w:b/>
                <w:color w:val="000000" w:themeColor="text1"/>
                <w:sz w:val="20"/>
                <w:szCs w:val="20"/>
              </w:rPr>
            </w:pPr>
            <w:r w:rsidRPr="008B5A35">
              <w:rPr>
                <w:rFonts w:asciiTheme="minorHAnsi" w:hAnsiTheme="minorHAnsi"/>
                <w:b/>
                <w:color w:val="000000" w:themeColor="text1"/>
                <w:sz w:val="20"/>
                <w:szCs w:val="20"/>
                <w:lang w:val="sr-Latn-RS" w:eastAsia="sr-Latn-RS"/>
              </w:rPr>
              <w:t>Година</w:t>
            </w:r>
          </w:p>
          <w:p w:rsidR="00444987" w:rsidRPr="008B5A35" w:rsidRDefault="00444987" w:rsidP="00BE15F9">
            <w:pPr>
              <w:jc w:val="center"/>
              <w:rPr>
                <w:rFonts w:asciiTheme="minorHAnsi" w:hAnsiTheme="minorHAnsi"/>
                <w:b/>
                <w:color w:val="000000" w:themeColor="text1"/>
                <w:sz w:val="20"/>
                <w:szCs w:val="20"/>
                <w:lang w:val="sr-Latn-RS" w:eastAsia="sr-Latn-RS"/>
              </w:rPr>
            </w:pP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444987" w:rsidRPr="008B5A35" w:rsidRDefault="00444987" w:rsidP="00BE15F9">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Број</w:t>
            </w:r>
          </w:p>
          <w:p w:rsidR="00444987" w:rsidRPr="008B5A35" w:rsidRDefault="00444987" w:rsidP="00BE15F9">
            <w:pPr>
              <w:jc w:val="center"/>
              <w:rPr>
                <w:rFonts w:asciiTheme="minorHAnsi" w:hAnsiTheme="minorHAnsi"/>
                <w:b/>
                <w:color w:val="000000" w:themeColor="text1"/>
                <w:sz w:val="20"/>
                <w:szCs w:val="20"/>
                <w:lang w:val="sr-Cyrl-RS"/>
              </w:rPr>
            </w:pPr>
            <w:r w:rsidRPr="008B5A35">
              <w:rPr>
                <w:rFonts w:asciiTheme="minorHAnsi" w:hAnsiTheme="minorHAnsi"/>
                <w:b/>
                <w:color w:val="000000" w:themeColor="text1"/>
                <w:sz w:val="20"/>
                <w:szCs w:val="20"/>
                <w:lang w:val="sr-Cyrl-BA" w:eastAsia="sr-Latn-RS"/>
              </w:rPr>
              <w:t>гаранција</w:t>
            </w:r>
          </w:p>
        </w:tc>
        <w:tc>
          <w:tcPr>
            <w:tcW w:w="226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444987" w:rsidRPr="008B5A35" w:rsidRDefault="00444987" w:rsidP="00BE15F9">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Износ кредита</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444987" w:rsidRPr="008B5A35" w:rsidRDefault="00444987" w:rsidP="00BE15F9">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Износ гаранција</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4</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5.854.000,00</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1.450.000,00</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2012</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17</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6.307.945,87</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2.872.972,94</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2013</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18</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15.156.463,45</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4.546.431,84</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2014</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32</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36.457.404,56</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9.108.346,44</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2015</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12</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8.380.980,00</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3.122.990,00</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2016</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3.587.398,07</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1.634.321,99</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2017</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15</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5.694.749,40</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2.473.763,48</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2018</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28</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7.142.900,00</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2.757.978,00</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2019</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6.084.461,10</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2.040.914,27</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2020</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38</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22.486.800,00</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10.791.400,00</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2021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46</w:t>
            </w:r>
          </w:p>
        </w:tc>
        <w:tc>
          <w:tcPr>
            <w:tcW w:w="2268"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24.375.144,64</w:t>
            </w:r>
          </w:p>
        </w:tc>
        <w:tc>
          <w:tcPr>
            <w:tcW w:w="1984" w:type="dxa"/>
            <w:tcBorders>
              <w:top w:val="nil"/>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10.795.782,32</w:t>
            </w:r>
          </w:p>
        </w:tc>
      </w:tr>
      <w:tr w:rsidR="00444987" w:rsidRPr="003D7300" w:rsidTr="00BE15F9">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2022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4987" w:rsidRPr="008B5A35" w:rsidRDefault="00444987" w:rsidP="00BE15F9">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16.933.109,22</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444987" w:rsidRPr="008B5A35" w:rsidRDefault="00444987" w:rsidP="00BE15F9">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7.965.795,16</w:t>
            </w:r>
          </w:p>
        </w:tc>
      </w:tr>
      <w:tr w:rsidR="00444987" w:rsidRPr="003D7300" w:rsidTr="00BE15F9">
        <w:trPr>
          <w:trHeight w:val="285"/>
        </w:trPr>
        <w:tc>
          <w:tcPr>
            <w:tcW w:w="2235" w:type="dxa"/>
            <w:tcBorders>
              <w:top w:val="single" w:sz="4" w:space="0" w:color="auto"/>
              <w:left w:val="single" w:sz="4" w:space="0" w:color="auto"/>
              <w:bottom w:val="single" w:sz="4" w:space="0" w:color="auto"/>
              <w:right w:val="single" w:sz="4" w:space="0" w:color="auto"/>
            </w:tcBorders>
            <w:shd w:val="clear" w:color="000000" w:fill="F0F0F0"/>
            <w:vAlign w:val="center"/>
          </w:tcPr>
          <w:p w:rsidR="00444987" w:rsidRPr="008B5A35" w:rsidRDefault="00444987" w:rsidP="00BE15F9">
            <w:pPr>
              <w:jc w:val="center"/>
              <w:rPr>
                <w:rFonts w:asciiTheme="minorHAnsi" w:hAnsiTheme="minorHAnsi"/>
                <w:color w:val="000000" w:themeColor="text1"/>
                <w:sz w:val="20"/>
                <w:szCs w:val="20"/>
                <w:lang w:val="sr-Cyrl-BA" w:eastAsia="sr-Latn-RS"/>
              </w:rPr>
            </w:pPr>
            <w:r w:rsidRPr="008B5A35">
              <w:rPr>
                <w:rFonts w:asciiTheme="minorHAnsi" w:hAnsiTheme="minorHAnsi"/>
                <w:color w:val="000000" w:themeColor="text1"/>
                <w:sz w:val="20"/>
                <w:szCs w:val="20"/>
                <w:lang w:val="sr-Cyrl-BA" w:eastAsia="sr-Latn-RS"/>
              </w:rPr>
              <w:t>2023</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rsidR="00444987" w:rsidRPr="008B5A35" w:rsidRDefault="00444987" w:rsidP="00BE15F9">
            <w:pPr>
              <w:jc w:val="center"/>
              <w:rPr>
                <w:rFonts w:asciiTheme="minorHAnsi" w:hAnsiTheme="minorHAnsi"/>
                <w:color w:val="000000" w:themeColor="text1"/>
                <w:sz w:val="20"/>
                <w:szCs w:val="20"/>
                <w:lang w:val="sr-Cyrl-RS" w:eastAsia="sr-Latn-RS"/>
              </w:rPr>
            </w:pPr>
            <w:r w:rsidRPr="008B5A35">
              <w:rPr>
                <w:rFonts w:asciiTheme="minorHAnsi" w:hAnsiTheme="minorHAnsi"/>
                <w:color w:val="000000" w:themeColor="text1"/>
                <w:sz w:val="20"/>
                <w:szCs w:val="20"/>
                <w:lang w:val="sr-Cyrl-RS" w:eastAsia="sr-Latn-RS"/>
              </w:rPr>
              <w:t>8</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rsidR="00444987" w:rsidRPr="008B5A35" w:rsidRDefault="00444987" w:rsidP="00BE15F9">
            <w:pPr>
              <w:jc w:val="right"/>
              <w:rPr>
                <w:rFonts w:asciiTheme="minorHAnsi" w:hAnsiTheme="minorHAnsi"/>
                <w:color w:val="000000" w:themeColor="text1"/>
                <w:sz w:val="20"/>
                <w:szCs w:val="20"/>
                <w:lang w:val="sr-Cyrl-RS" w:eastAsia="sr-Latn-RS"/>
              </w:rPr>
            </w:pPr>
            <w:r w:rsidRPr="008B5A35">
              <w:rPr>
                <w:rFonts w:asciiTheme="minorHAnsi" w:hAnsiTheme="minorHAnsi"/>
                <w:color w:val="000000" w:themeColor="text1"/>
                <w:sz w:val="20"/>
                <w:szCs w:val="20"/>
                <w:lang w:val="sr-Cyrl-RS" w:eastAsia="sr-Latn-RS"/>
              </w:rPr>
              <w:t>25.760.000,00</w:t>
            </w:r>
          </w:p>
        </w:tc>
        <w:tc>
          <w:tcPr>
            <w:tcW w:w="1984" w:type="dxa"/>
            <w:tcBorders>
              <w:top w:val="single" w:sz="4" w:space="0" w:color="auto"/>
              <w:left w:val="single" w:sz="4" w:space="0" w:color="auto"/>
              <w:bottom w:val="single" w:sz="4" w:space="0" w:color="auto"/>
              <w:right w:val="single" w:sz="4" w:space="0" w:color="auto"/>
            </w:tcBorders>
            <w:shd w:val="clear" w:color="000000" w:fill="F0F0F0"/>
            <w:vAlign w:val="center"/>
          </w:tcPr>
          <w:p w:rsidR="00444987" w:rsidRPr="008B5A35" w:rsidRDefault="00444987" w:rsidP="00BE15F9">
            <w:pPr>
              <w:jc w:val="right"/>
              <w:rPr>
                <w:rFonts w:asciiTheme="minorHAnsi" w:hAnsiTheme="minorHAnsi"/>
                <w:color w:val="000000" w:themeColor="text1"/>
                <w:sz w:val="20"/>
                <w:szCs w:val="20"/>
                <w:lang w:val="sr-Cyrl-RS" w:eastAsia="sr-Latn-RS"/>
              </w:rPr>
            </w:pPr>
            <w:r w:rsidRPr="008B5A35">
              <w:rPr>
                <w:rFonts w:asciiTheme="minorHAnsi" w:hAnsiTheme="minorHAnsi"/>
                <w:color w:val="000000" w:themeColor="text1"/>
                <w:sz w:val="20"/>
                <w:szCs w:val="20"/>
                <w:lang w:val="sr-Cyrl-RS" w:eastAsia="sr-Latn-RS"/>
              </w:rPr>
              <w:t>5.470.260,00</w:t>
            </w:r>
          </w:p>
        </w:tc>
      </w:tr>
      <w:tr w:rsidR="008B5A35" w:rsidRPr="003D7300" w:rsidTr="008B5A35">
        <w:trPr>
          <w:trHeight w:val="285"/>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8B5A35" w:rsidRPr="008B5A35" w:rsidRDefault="008B5A35" w:rsidP="00BE15F9">
            <w:pPr>
              <w:jc w:val="center"/>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B5A35" w:rsidRPr="008B5A35" w:rsidRDefault="008B5A35" w:rsidP="00BE15F9">
            <w:pPr>
              <w:jc w:val="center"/>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B5A35" w:rsidRPr="008B5A35" w:rsidRDefault="008B5A35" w:rsidP="00BE15F9">
            <w:pPr>
              <w:jc w:val="right"/>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300.000,00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B5A35" w:rsidRPr="008B5A35" w:rsidRDefault="008B5A35" w:rsidP="00BE15F9">
            <w:pPr>
              <w:jc w:val="right"/>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150.000,00</w:t>
            </w:r>
          </w:p>
        </w:tc>
      </w:tr>
      <w:tr w:rsidR="00444987" w:rsidRPr="003D7300" w:rsidTr="00BE15F9">
        <w:trPr>
          <w:trHeight w:val="285"/>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444987" w:rsidRPr="008B5A35" w:rsidRDefault="00444987" w:rsidP="00BE15F9">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УКУПНО</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444987" w:rsidRPr="008B5A35" w:rsidRDefault="008B5A35" w:rsidP="00BE15F9">
            <w:pPr>
              <w:jc w:val="center"/>
              <w:rPr>
                <w:rFonts w:asciiTheme="minorHAnsi" w:hAnsiTheme="minorHAnsi"/>
                <w:b/>
                <w:color w:val="000000" w:themeColor="text1"/>
                <w:sz w:val="20"/>
                <w:szCs w:val="20"/>
                <w:lang w:eastAsia="sr-Latn-RS"/>
              </w:rPr>
            </w:pPr>
            <w:r w:rsidRPr="008B5A35">
              <w:rPr>
                <w:rFonts w:asciiTheme="minorHAnsi" w:hAnsiTheme="minorHAnsi"/>
                <w:b/>
                <w:color w:val="000000" w:themeColor="text1"/>
                <w:sz w:val="20"/>
                <w:szCs w:val="20"/>
                <w:lang w:val="sr-Cyrl-RS" w:eastAsia="sr-Latn-RS"/>
              </w:rPr>
              <w:t>25</w:t>
            </w:r>
            <w:r w:rsidRPr="008B5A35">
              <w:rPr>
                <w:rFonts w:asciiTheme="minorHAnsi" w:hAnsiTheme="minorHAnsi"/>
                <w:b/>
                <w:color w:val="000000" w:themeColor="text1"/>
                <w:sz w:val="20"/>
                <w:szCs w:val="20"/>
                <w:lang w:eastAsia="sr-Latn-RS"/>
              </w:rPr>
              <w:t>8</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444987" w:rsidRPr="008B5A35" w:rsidRDefault="00444987" w:rsidP="008B5A35">
            <w:pPr>
              <w:jc w:val="right"/>
              <w:rPr>
                <w:rFonts w:asciiTheme="minorHAnsi" w:hAnsiTheme="minorHAnsi"/>
                <w:b/>
                <w:color w:val="000000" w:themeColor="text1"/>
                <w:sz w:val="20"/>
                <w:szCs w:val="20"/>
                <w:lang w:val="sr-Latn-RS" w:eastAsia="sr-Latn-RS"/>
              </w:rPr>
            </w:pPr>
            <w:r w:rsidRPr="008B5A35">
              <w:rPr>
                <w:rFonts w:asciiTheme="minorHAnsi" w:hAnsiTheme="minorHAnsi"/>
                <w:b/>
                <w:color w:val="000000" w:themeColor="text1"/>
                <w:sz w:val="20"/>
                <w:szCs w:val="20"/>
                <w:lang w:val="sr-Cyrl-RS" w:eastAsia="sr-Latn-RS"/>
              </w:rPr>
              <w:t>184.</w:t>
            </w:r>
            <w:r w:rsidR="008B5A35" w:rsidRPr="008B5A35">
              <w:rPr>
                <w:rFonts w:asciiTheme="minorHAnsi" w:hAnsiTheme="minorHAnsi"/>
                <w:b/>
                <w:color w:val="000000" w:themeColor="text1"/>
                <w:sz w:val="20"/>
                <w:szCs w:val="20"/>
                <w:lang w:eastAsia="sr-Latn-RS"/>
              </w:rPr>
              <w:t>5</w:t>
            </w:r>
            <w:r w:rsidRPr="008B5A35">
              <w:rPr>
                <w:rFonts w:asciiTheme="minorHAnsi" w:hAnsiTheme="minorHAnsi"/>
                <w:b/>
                <w:color w:val="000000" w:themeColor="text1"/>
                <w:sz w:val="20"/>
                <w:szCs w:val="20"/>
                <w:lang w:val="sr-Cyrl-RS" w:eastAsia="sr-Latn-RS"/>
              </w:rPr>
              <w:t>21</w:t>
            </w:r>
            <w:r w:rsidRPr="008B5A35">
              <w:rPr>
                <w:rFonts w:asciiTheme="minorHAnsi" w:hAnsiTheme="minorHAnsi"/>
                <w:b/>
                <w:color w:val="000000" w:themeColor="text1"/>
                <w:sz w:val="20"/>
                <w:szCs w:val="20"/>
                <w:lang w:val="sr-Latn-RS" w:eastAsia="sr-Latn-RS"/>
              </w:rPr>
              <w:t>.356,31</w:t>
            </w:r>
          </w:p>
        </w:tc>
        <w:tc>
          <w:tcPr>
            <w:tcW w:w="19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444987" w:rsidRPr="008B5A35" w:rsidRDefault="008B5A35" w:rsidP="008B5A35">
            <w:pPr>
              <w:jc w:val="right"/>
              <w:rPr>
                <w:rFonts w:asciiTheme="minorHAnsi" w:hAnsiTheme="minorHAnsi"/>
                <w:b/>
                <w:color w:val="000000" w:themeColor="text1"/>
                <w:sz w:val="20"/>
                <w:szCs w:val="20"/>
                <w:lang w:val="sr-Latn-RS" w:eastAsia="sr-Latn-RS"/>
              </w:rPr>
            </w:pPr>
            <w:r w:rsidRPr="008B5A35">
              <w:rPr>
                <w:rFonts w:asciiTheme="minorHAnsi" w:hAnsiTheme="minorHAnsi"/>
                <w:b/>
                <w:color w:val="000000" w:themeColor="text1"/>
                <w:sz w:val="20"/>
                <w:szCs w:val="20"/>
                <w:lang w:val="sr-Cyrl-RS" w:eastAsia="sr-Latn-RS"/>
              </w:rPr>
              <w:t>65.</w:t>
            </w:r>
            <w:r w:rsidRPr="008B5A35">
              <w:rPr>
                <w:rFonts w:asciiTheme="minorHAnsi" w:hAnsiTheme="minorHAnsi"/>
                <w:b/>
                <w:color w:val="000000" w:themeColor="text1"/>
                <w:sz w:val="20"/>
                <w:szCs w:val="20"/>
                <w:lang w:eastAsia="sr-Latn-RS"/>
              </w:rPr>
              <w:t>18</w:t>
            </w:r>
            <w:r w:rsidR="00444987" w:rsidRPr="008B5A35">
              <w:rPr>
                <w:rFonts w:asciiTheme="minorHAnsi" w:hAnsiTheme="minorHAnsi"/>
                <w:b/>
                <w:color w:val="000000" w:themeColor="text1"/>
                <w:sz w:val="20"/>
                <w:szCs w:val="20"/>
                <w:lang w:val="sr-Cyrl-RS" w:eastAsia="sr-Latn-RS"/>
              </w:rPr>
              <w:t>0</w:t>
            </w:r>
            <w:r w:rsidR="00444987" w:rsidRPr="008B5A35">
              <w:rPr>
                <w:rFonts w:asciiTheme="minorHAnsi" w:hAnsiTheme="minorHAnsi"/>
                <w:b/>
                <w:color w:val="000000" w:themeColor="text1"/>
                <w:sz w:val="20"/>
                <w:szCs w:val="20"/>
                <w:lang w:val="sr-Latn-RS" w:eastAsia="sr-Latn-RS"/>
              </w:rPr>
              <w:t>.</w:t>
            </w:r>
            <w:r w:rsidR="00444987" w:rsidRPr="008B5A35">
              <w:rPr>
                <w:rFonts w:asciiTheme="minorHAnsi" w:hAnsiTheme="minorHAnsi"/>
                <w:b/>
                <w:color w:val="000000" w:themeColor="text1"/>
                <w:sz w:val="20"/>
                <w:szCs w:val="20"/>
                <w:lang w:val="sr-Cyrl-RS" w:eastAsia="sr-Latn-RS"/>
              </w:rPr>
              <w:t>956</w:t>
            </w:r>
            <w:r w:rsidR="00444987" w:rsidRPr="008B5A35">
              <w:rPr>
                <w:rFonts w:asciiTheme="minorHAnsi" w:hAnsiTheme="minorHAnsi"/>
                <w:b/>
                <w:color w:val="000000" w:themeColor="text1"/>
                <w:sz w:val="20"/>
                <w:szCs w:val="20"/>
                <w:lang w:val="sr-Latn-RS" w:eastAsia="sr-Latn-RS"/>
              </w:rPr>
              <w:t>,44</w:t>
            </w:r>
          </w:p>
        </w:tc>
      </w:tr>
    </w:tbl>
    <w:p w:rsidR="008E0518" w:rsidRPr="003D7300" w:rsidRDefault="008E0518" w:rsidP="00245931">
      <w:pPr>
        <w:pStyle w:val="Default"/>
        <w:jc w:val="both"/>
        <w:rPr>
          <w:rFonts w:asciiTheme="minorHAnsi" w:hAnsiTheme="minorHAnsi"/>
          <w:color w:val="FF0000"/>
          <w:sz w:val="20"/>
          <w:szCs w:val="20"/>
          <w:lang w:val="sr-Cyrl-BA"/>
        </w:rPr>
      </w:pPr>
    </w:p>
    <w:p w:rsidR="008B5A35" w:rsidRDefault="00245931" w:rsidP="00245931">
      <w:pPr>
        <w:pStyle w:val="Default"/>
        <w:jc w:val="both"/>
        <w:rPr>
          <w:rFonts w:asciiTheme="minorHAnsi" w:hAnsiTheme="minorHAnsi"/>
          <w:color w:val="000000" w:themeColor="text1"/>
          <w:sz w:val="20"/>
          <w:szCs w:val="20"/>
          <w:lang w:val="sr-Cyrl-BA"/>
        </w:rPr>
      </w:pPr>
      <w:r w:rsidRPr="008B5A35">
        <w:rPr>
          <w:rFonts w:asciiTheme="minorHAnsi" w:hAnsiTheme="minorHAnsi"/>
          <w:color w:val="000000" w:themeColor="text1"/>
          <w:sz w:val="20"/>
          <w:szCs w:val="20"/>
          <w:lang w:val="sr-Cyrl-BA"/>
        </w:rPr>
        <w:t xml:space="preserve">Од </w:t>
      </w:r>
      <w:r w:rsidR="008E49D3" w:rsidRPr="008B5A35">
        <w:rPr>
          <w:rFonts w:asciiTheme="minorHAnsi" w:hAnsiTheme="minorHAnsi"/>
          <w:color w:val="000000" w:themeColor="text1"/>
          <w:sz w:val="20"/>
          <w:szCs w:val="20"/>
          <w:lang w:val="sr-Cyrl-BA"/>
        </w:rPr>
        <w:t xml:space="preserve">почетка рада Гарантног фонда у 2011. години </w:t>
      </w:r>
      <w:r w:rsidRPr="008B5A35">
        <w:rPr>
          <w:rFonts w:asciiTheme="minorHAnsi" w:hAnsiTheme="minorHAnsi"/>
          <w:color w:val="000000" w:themeColor="text1"/>
          <w:sz w:val="20"/>
          <w:szCs w:val="20"/>
          <w:lang w:val="sr-Cyrl-BA"/>
        </w:rPr>
        <w:t>до краја 202</w:t>
      </w:r>
      <w:r w:rsidR="008B5A35" w:rsidRPr="008B5A35">
        <w:rPr>
          <w:rFonts w:asciiTheme="minorHAnsi" w:hAnsiTheme="minorHAnsi"/>
          <w:color w:val="000000" w:themeColor="text1"/>
          <w:sz w:val="20"/>
          <w:szCs w:val="20"/>
        </w:rPr>
        <w:t>4</w:t>
      </w:r>
      <w:r w:rsidRPr="008B5A35">
        <w:rPr>
          <w:rFonts w:asciiTheme="minorHAnsi" w:hAnsiTheme="minorHAnsi"/>
          <w:color w:val="000000" w:themeColor="text1"/>
          <w:sz w:val="20"/>
          <w:szCs w:val="20"/>
          <w:lang w:val="sr-Cyrl-BA"/>
        </w:rPr>
        <w:t xml:space="preserve">. године, </w:t>
      </w:r>
      <w:r w:rsidR="008E49D3" w:rsidRPr="008B5A35">
        <w:rPr>
          <w:rFonts w:asciiTheme="minorHAnsi" w:hAnsiTheme="minorHAnsi"/>
          <w:color w:val="000000" w:themeColor="text1"/>
          <w:sz w:val="20"/>
          <w:szCs w:val="20"/>
          <w:lang w:val="sr-Cyrl-BA"/>
        </w:rPr>
        <w:t xml:space="preserve">укупно је издано </w:t>
      </w:r>
      <w:r w:rsidRPr="008B5A35">
        <w:rPr>
          <w:rFonts w:asciiTheme="minorHAnsi" w:hAnsiTheme="minorHAnsi"/>
          <w:color w:val="000000" w:themeColor="text1"/>
          <w:sz w:val="20"/>
          <w:szCs w:val="20"/>
          <w:lang w:val="sr-Cyrl-BA"/>
        </w:rPr>
        <w:t>25</w:t>
      </w:r>
      <w:r w:rsidR="008B5A35" w:rsidRPr="008B5A35">
        <w:rPr>
          <w:rFonts w:asciiTheme="minorHAnsi" w:hAnsiTheme="minorHAnsi"/>
          <w:color w:val="000000" w:themeColor="text1"/>
          <w:sz w:val="20"/>
          <w:szCs w:val="20"/>
        </w:rPr>
        <w:t>8</w:t>
      </w:r>
      <w:r w:rsidR="008B5A35" w:rsidRPr="008B5A35">
        <w:rPr>
          <w:rFonts w:asciiTheme="minorHAnsi" w:hAnsiTheme="minorHAnsi"/>
          <w:color w:val="000000" w:themeColor="text1"/>
          <w:sz w:val="20"/>
          <w:szCs w:val="20"/>
          <w:lang w:val="sr-Cyrl-BA"/>
        </w:rPr>
        <w:t xml:space="preserve"> гаранција у </w:t>
      </w:r>
      <w:r w:rsidR="00222447">
        <w:rPr>
          <w:rFonts w:asciiTheme="minorHAnsi" w:hAnsiTheme="minorHAnsi"/>
          <w:color w:val="000000" w:themeColor="text1"/>
          <w:sz w:val="20"/>
          <w:szCs w:val="20"/>
          <w:lang w:val="sr-Cyrl-BA"/>
        </w:rPr>
        <w:t xml:space="preserve">оквиру гараннтих линија у </w:t>
      </w:r>
      <w:r w:rsidR="008B5A35" w:rsidRPr="008B5A35">
        <w:rPr>
          <w:rFonts w:asciiTheme="minorHAnsi" w:hAnsiTheme="minorHAnsi"/>
          <w:color w:val="000000" w:themeColor="text1"/>
          <w:sz w:val="20"/>
          <w:szCs w:val="20"/>
          <w:lang w:val="sr-Cyrl-BA"/>
        </w:rPr>
        <w:t>износу од 65.</w:t>
      </w:r>
      <w:r w:rsidR="008B5A35" w:rsidRPr="008B5A35">
        <w:rPr>
          <w:rFonts w:asciiTheme="minorHAnsi" w:hAnsiTheme="minorHAnsi"/>
          <w:color w:val="000000" w:themeColor="text1"/>
          <w:sz w:val="20"/>
          <w:szCs w:val="20"/>
        </w:rPr>
        <w:t>18</w:t>
      </w:r>
      <w:r w:rsidRPr="008B5A35">
        <w:rPr>
          <w:rFonts w:asciiTheme="minorHAnsi" w:hAnsiTheme="minorHAnsi"/>
          <w:color w:val="000000" w:themeColor="text1"/>
          <w:sz w:val="20"/>
          <w:szCs w:val="20"/>
          <w:lang w:val="sr-Cyrl-BA"/>
        </w:rPr>
        <w:t>0.956,44 КМ, чиме је подржан пласман 184.</w:t>
      </w:r>
      <w:r w:rsidR="008B5A35" w:rsidRPr="008B5A35">
        <w:rPr>
          <w:rFonts w:asciiTheme="minorHAnsi" w:hAnsiTheme="minorHAnsi"/>
          <w:color w:val="000000" w:themeColor="text1"/>
          <w:sz w:val="20"/>
          <w:szCs w:val="20"/>
        </w:rPr>
        <w:t>5</w:t>
      </w:r>
      <w:r w:rsidRPr="008B5A35">
        <w:rPr>
          <w:rFonts w:asciiTheme="minorHAnsi" w:hAnsiTheme="minorHAnsi"/>
          <w:color w:val="000000" w:themeColor="text1"/>
          <w:sz w:val="20"/>
          <w:szCs w:val="20"/>
          <w:lang w:val="sr-Cyrl-BA"/>
        </w:rPr>
        <w:t>21.</w:t>
      </w:r>
      <w:r w:rsidR="00D44C0D" w:rsidRPr="008B5A35">
        <w:rPr>
          <w:rFonts w:asciiTheme="minorHAnsi" w:hAnsiTheme="minorHAnsi"/>
          <w:color w:val="000000" w:themeColor="text1"/>
          <w:sz w:val="20"/>
          <w:szCs w:val="20"/>
          <w:lang w:val="sr-Cyrl-BA"/>
        </w:rPr>
        <w:t>356,31 КМ кредитних средстава.</w:t>
      </w:r>
      <w:r w:rsidR="0055687E" w:rsidRPr="008B5A35">
        <w:rPr>
          <w:rFonts w:asciiTheme="minorHAnsi" w:hAnsiTheme="minorHAnsi"/>
          <w:color w:val="000000" w:themeColor="text1"/>
          <w:sz w:val="20"/>
          <w:szCs w:val="20"/>
          <w:lang w:val="sr-Cyrl-BA"/>
        </w:rPr>
        <w:t xml:space="preserve"> </w:t>
      </w:r>
      <w:r w:rsidRPr="008B5A35">
        <w:rPr>
          <w:rFonts w:asciiTheme="minorHAnsi" w:hAnsiTheme="minorHAnsi"/>
          <w:color w:val="000000" w:themeColor="text1"/>
          <w:sz w:val="20"/>
          <w:szCs w:val="20"/>
          <w:lang w:val="sr-Cyrl-BA"/>
        </w:rPr>
        <w:t>Смањење броја појединачни</w:t>
      </w:r>
      <w:r w:rsidR="008B5A35" w:rsidRPr="008B5A35">
        <w:rPr>
          <w:rFonts w:asciiTheme="minorHAnsi" w:hAnsiTheme="minorHAnsi"/>
          <w:color w:val="000000" w:themeColor="text1"/>
          <w:sz w:val="20"/>
          <w:szCs w:val="20"/>
          <w:lang w:val="sr-Cyrl-BA"/>
        </w:rPr>
        <w:t>х гаранција у односу на претход</w:t>
      </w:r>
      <w:r w:rsidR="008B5A35" w:rsidRPr="008B5A35">
        <w:rPr>
          <w:rFonts w:asciiTheme="minorHAnsi" w:hAnsiTheme="minorHAnsi"/>
          <w:color w:val="000000" w:themeColor="text1"/>
          <w:sz w:val="20"/>
          <w:szCs w:val="20"/>
          <w:lang w:val="sr-Cyrl-RS"/>
        </w:rPr>
        <w:t xml:space="preserve">них неколико </w:t>
      </w:r>
      <w:r w:rsidR="008B5A35" w:rsidRPr="008B5A35">
        <w:rPr>
          <w:rFonts w:asciiTheme="minorHAnsi" w:hAnsiTheme="minorHAnsi"/>
          <w:color w:val="000000" w:themeColor="text1"/>
          <w:sz w:val="20"/>
          <w:szCs w:val="20"/>
          <w:lang w:val="sr-Cyrl-BA"/>
        </w:rPr>
        <w:t>година</w:t>
      </w:r>
      <w:r w:rsidRPr="008B5A35">
        <w:rPr>
          <w:rFonts w:asciiTheme="minorHAnsi" w:hAnsiTheme="minorHAnsi"/>
          <w:color w:val="000000" w:themeColor="text1"/>
          <w:sz w:val="20"/>
          <w:szCs w:val="20"/>
          <w:lang w:val="sr-Cyrl-BA"/>
        </w:rPr>
        <w:t xml:space="preserve"> је резултат све већег опредјељења финансијских посредника за издавање гаранција у оквиру кредитног портфеља, који због </w:t>
      </w:r>
      <w:r w:rsidR="00F223B7">
        <w:rPr>
          <w:rFonts w:asciiTheme="minorHAnsi" w:hAnsiTheme="minorHAnsi"/>
          <w:color w:val="000000" w:themeColor="text1"/>
          <w:sz w:val="20"/>
          <w:szCs w:val="20"/>
          <w:lang w:val="sr-Cyrl-BA"/>
        </w:rPr>
        <w:t>брже процедуре и смањеног трошка за клијента</w:t>
      </w:r>
      <w:r w:rsidR="00222447">
        <w:rPr>
          <w:rFonts w:asciiTheme="minorHAnsi" w:hAnsiTheme="minorHAnsi"/>
          <w:color w:val="000000" w:themeColor="text1"/>
          <w:sz w:val="20"/>
          <w:szCs w:val="20"/>
          <w:lang w:val="sr-Cyrl-BA"/>
        </w:rPr>
        <w:t xml:space="preserve"> преузима примат у однос</w:t>
      </w:r>
      <w:r w:rsidRPr="008B5A35">
        <w:rPr>
          <w:rFonts w:asciiTheme="minorHAnsi" w:hAnsiTheme="minorHAnsi"/>
          <w:color w:val="000000" w:themeColor="text1"/>
          <w:sz w:val="20"/>
          <w:szCs w:val="20"/>
          <w:lang w:val="sr-Cyrl-BA"/>
        </w:rPr>
        <w:t>у на појединачне гаранције у оквиру редовних линија.</w:t>
      </w:r>
      <w:r w:rsidR="008E49D3" w:rsidRPr="008B5A35">
        <w:rPr>
          <w:rFonts w:asciiTheme="minorHAnsi" w:hAnsiTheme="minorHAnsi"/>
          <w:color w:val="000000" w:themeColor="text1"/>
          <w:sz w:val="20"/>
          <w:szCs w:val="20"/>
          <w:lang w:val="sr-Cyrl-BA"/>
        </w:rPr>
        <w:t xml:space="preserve"> </w:t>
      </w:r>
    </w:p>
    <w:p w:rsidR="00222447" w:rsidRDefault="00222447" w:rsidP="00245931">
      <w:pPr>
        <w:pStyle w:val="Default"/>
        <w:jc w:val="both"/>
        <w:rPr>
          <w:rFonts w:asciiTheme="minorHAnsi" w:hAnsiTheme="minorHAnsi"/>
          <w:color w:val="000000" w:themeColor="text1"/>
          <w:sz w:val="20"/>
          <w:szCs w:val="20"/>
          <w:lang w:val="sr-Cyrl-BA"/>
        </w:rPr>
      </w:pPr>
    </w:p>
    <w:p w:rsidR="00222447" w:rsidRDefault="00222447" w:rsidP="00245931">
      <w:pPr>
        <w:pStyle w:val="Default"/>
        <w:jc w:val="both"/>
        <w:rPr>
          <w:rFonts w:asciiTheme="minorHAnsi" w:hAnsiTheme="minorHAnsi"/>
          <w:color w:val="000000" w:themeColor="text1"/>
          <w:sz w:val="20"/>
          <w:szCs w:val="20"/>
          <w:lang w:val="sr-Cyrl-BA"/>
        </w:rPr>
      </w:pPr>
    </w:p>
    <w:p w:rsidR="00222447" w:rsidRPr="005541C1" w:rsidRDefault="00222447" w:rsidP="00245931">
      <w:pPr>
        <w:pStyle w:val="Default"/>
        <w:jc w:val="both"/>
        <w:rPr>
          <w:rFonts w:asciiTheme="minorHAnsi" w:hAnsiTheme="minorHAnsi"/>
          <w:color w:val="000000" w:themeColor="text1"/>
          <w:sz w:val="20"/>
          <w:szCs w:val="20"/>
          <w:lang w:val="sr-Cyrl-BA"/>
        </w:rPr>
      </w:pPr>
    </w:p>
    <w:tbl>
      <w:tblPr>
        <w:tblW w:w="8804" w:type="dxa"/>
        <w:tblInd w:w="93" w:type="dxa"/>
        <w:tblLayout w:type="fixed"/>
        <w:tblLook w:val="04A0" w:firstRow="1" w:lastRow="0" w:firstColumn="1" w:lastColumn="0" w:noHBand="0" w:noVBand="1"/>
      </w:tblPr>
      <w:tblGrid>
        <w:gridCol w:w="15"/>
        <w:gridCol w:w="1276"/>
        <w:gridCol w:w="1629"/>
        <w:gridCol w:w="1064"/>
        <w:gridCol w:w="1456"/>
        <w:gridCol w:w="1480"/>
        <w:gridCol w:w="1033"/>
        <w:gridCol w:w="67"/>
        <w:gridCol w:w="784"/>
      </w:tblGrid>
      <w:tr w:rsidR="008D3DAA" w:rsidRPr="003D7300" w:rsidTr="00C120D5">
        <w:trPr>
          <w:gridBefore w:val="1"/>
          <w:wBefore w:w="15" w:type="dxa"/>
          <w:trHeight w:val="465"/>
        </w:trPr>
        <w:tc>
          <w:tcPr>
            <w:tcW w:w="1276" w:type="dxa"/>
            <w:tcBorders>
              <w:top w:val="nil"/>
              <w:left w:val="nil"/>
              <w:bottom w:val="nil"/>
              <w:right w:val="nil"/>
            </w:tcBorders>
            <w:shd w:val="clear" w:color="000000" w:fill="FFFFFF"/>
          </w:tcPr>
          <w:p w:rsidR="008D3DAA" w:rsidRPr="003D7300" w:rsidRDefault="008D3DAA" w:rsidP="00091285">
            <w:pPr>
              <w:rPr>
                <w:rFonts w:asciiTheme="minorHAnsi" w:hAnsiTheme="minorHAnsi"/>
                <w:b/>
                <w:bCs/>
                <w:color w:val="FF0000"/>
                <w:sz w:val="20"/>
                <w:szCs w:val="20"/>
                <w:lang w:val="sr-Cyrl-RS" w:eastAsia="sr-Latn-RS"/>
              </w:rPr>
            </w:pPr>
          </w:p>
        </w:tc>
        <w:tc>
          <w:tcPr>
            <w:tcW w:w="6662" w:type="dxa"/>
            <w:gridSpan w:val="5"/>
            <w:tcBorders>
              <w:top w:val="nil"/>
              <w:left w:val="nil"/>
              <w:bottom w:val="nil"/>
              <w:right w:val="nil"/>
            </w:tcBorders>
            <w:shd w:val="clear" w:color="000000" w:fill="FFFFFF"/>
            <w:vAlign w:val="center"/>
            <w:hideMark/>
          </w:tcPr>
          <w:p w:rsidR="00BA0C56" w:rsidRDefault="00BA0C56" w:rsidP="008B5A35">
            <w:pPr>
              <w:jc w:val="center"/>
              <w:rPr>
                <w:rFonts w:asciiTheme="minorHAnsi" w:hAnsiTheme="minorHAnsi"/>
                <w:b/>
                <w:bCs/>
                <w:color w:val="000000" w:themeColor="text1"/>
                <w:sz w:val="20"/>
                <w:szCs w:val="20"/>
                <w:lang w:val="sr-Cyrl-RS" w:eastAsia="sr-Latn-RS"/>
              </w:rPr>
            </w:pPr>
          </w:p>
          <w:p w:rsidR="008D3DAA" w:rsidRPr="003D7300" w:rsidRDefault="008D3DAA" w:rsidP="008B5A35">
            <w:pPr>
              <w:jc w:val="center"/>
              <w:rPr>
                <w:rFonts w:asciiTheme="minorHAnsi" w:hAnsiTheme="minorHAnsi"/>
                <w:b/>
                <w:bCs/>
                <w:color w:val="FF0000"/>
                <w:sz w:val="20"/>
                <w:szCs w:val="20"/>
                <w:lang w:val="sr-Cyrl-RS" w:eastAsia="sr-Latn-RS"/>
              </w:rPr>
            </w:pPr>
            <w:r w:rsidRPr="008B5A35">
              <w:rPr>
                <w:rFonts w:asciiTheme="minorHAnsi" w:hAnsiTheme="minorHAnsi"/>
                <w:b/>
                <w:bCs/>
                <w:color w:val="000000" w:themeColor="text1"/>
                <w:sz w:val="20"/>
                <w:szCs w:val="20"/>
                <w:lang w:val="sr-Latn-RS" w:eastAsia="sr-Latn-RS"/>
              </w:rPr>
              <w:t>Преглед активних гаранција</w:t>
            </w:r>
            <w:r w:rsidRPr="008B5A35">
              <w:rPr>
                <w:rFonts w:asciiTheme="minorHAnsi" w:hAnsiTheme="minorHAnsi"/>
                <w:b/>
                <w:bCs/>
                <w:color w:val="000000" w:themeColor="text1"/>
                <w:sz w:val="20"/>
                <w:szCs w:val="20"/>
                <w:lang w:val="sr-Cyrl-BA" w:eastAsia="sr-Latn-RS"/>
              </w:rPr>
              <w:t xml:space="preserve"> по финансијским посредницима </w:t>
            </w:r>
            <w:r w:rsidRPr="008B5A35">
              <w:rPr>
                <w:rFonts w:asciiTheme="minorHAnsi" w:hAnsiTheme="minorHAnsi"/>
                <w:b/>
                <w:bCs/>
                <w:color w:val="000000" w:themeColor="text1"/>
                <w:sz w:val="20"/>
                <w:szCs w:val="20"/>
                <w:lang w:val="sr-Latn-RS" w:eastAsia="sr-Latn-RS"/>
              </w:rPr>
              <w:t>на дан 31.12.202</w:t>
            </w:r>
            <w:r w:rsidR="008B5A35" w:rsidRPr="008B5A35">
              <w:rPr>
                <w:rFonts w:asciiTheme="minorHAnsi" w:hAnsiTheme="minorHAnsi"/>
                <w:b/>
                <w:bCs/>
                <w:color w:val="000000" w:themeColor="text1"/>
                <w:sz w:val="20"/>
                <w:szCs w:val="20"/>
                <w:lang w:val="sr-Cyrl-RS" w:eastAsia="sr-Latn-RS"/>
              </w:rPr>
              <w:t>4</w:t>
            </w:r>
            <w:r w:rsidRPr="008B5A35">
              <w:rPr>
                <w:rFonts w:asciiTheme="minorHAnsi" w:hAnsiTheme="minorHAnsi"/>
                <w:b/>
                <w:bCs/>
                <w:color w:val="000000" w:themeColor="text1"/>
                <w:sz w:val="20"/>
                <w:szCs w:val="20"/>
                <w:lang w:val="sr-Latn-RS" w:eastAsia="sr-Latn-RS"/>
              </w:rPr>
              <w:t>.</w:t>
            </w:r>
            <w:r w:rsidRPr="008B5A35">
              <w:rPr>
                <w:rFonts w:asciiTheme="minorHAnsi" w:hAnsiTheme="minorHAnsi"/>
                <w:b/>
                <w:bCs/>
                <w:color w:val="000000" w:themeColor="text1"/>
                <w:sz w:val="20"/>
                <w:szCs w:val="20"/>
                <w:lang w:val="sr-Cyrl-RS" w:eastAsia="sr-Latn-RS"/>
              </w:rPr>
              <w:t xml:space="preserve"> године</w:t>
            </w:r>
          </w:p>
        </w:tc>
        <w:tc>
          <w:tcPr>
            <w:tcW w:w="851" w:type="dxa"/>
            <w:gridSpan w:val="2"/>
            <w:tcBorders>
              <w:top w:val="nil"/>
              <w:left w:val="nil"/>
              <w:bottom w:val="nil"/>
              <w:right w:val="nil"/>
            </w:tcBorders>
            <w:shd w:val="clear" w:color="000000" w:fill="FFFFFF"/>
          </w:tcPr>
          <w:p w:rsidR="008D3DAA" w:rsidRPr="003D7300" w:rsidRDefault="008D3DAA" w:rsidP="00091285">
            <w:pPr>
              <w:rPr>
                <w:rFonts w:asciiTheme="minorHAnsi" w:hAnsiTheme="minorHAnsi"/>
                <w:b/>
                <w:bCs/>
                <w:color w:val="FF0000"/>
                <w:sz w:val="20"/>
                <w:szCs w:val="20"/>
                <w:lang w:val="sr-Cyrl-RS" w:eastAsia="sr-Latn-RS"/>
              </w:rPr>
            </w:pPr>
          </w:p>
        </w:tc>
      </w:tr>
      <w:tr w:rsidR="008C27E1" w:rsidRPr="003D7300" w:rsidTr="00C120D5">
        <w:trPr>
          <w:gridBefore w:val="1"/>
          <w:wBefore w:w="15" w:type="dxa"/>
          <w:trHeight w:val="513"/>
        </w:trPr>
        <w:tc>
          <w:tcPr>
            <w:tcW w:w="8789" w:type="dxa"/>
            <w:gridSpan w:val="8"/>
            <w:tcBorders>
              <w:top w:val="nil"/>
              <w:left w:val="nil"/>
              <w:bottom w:val="nil"/>
              <w:right w:val="nil"/>
            </w:tcBorders>
            <w:shd w:val="clear" w:color="000000" w:fill="FFFFFF"/>
          </w:tcPr>
          <w:p w:rsidR="008C27E1" w:rsidRPr="003D7300" w:rsidRDefault="008C27E1" w:rsidP="00091285">
            <w:pPr>
              <w:rPr>
                <w:rFonts w:asciiTheme="minorHAnsi" w:hAnsiTheme="minorHAnsi"/>
                <w:b/>
                <w:color w:val="FF0000"/>
                <w:sz w:val="20"/>
                <w:szCs w:val="20"/>
                <w:lang w:val="sr-Cyrl-BA" w:eastAsia="sr-Latn-RS"/>
              </w:rPr>
            </w:pPr>
          </w:p>
          <w:p w:rsidR="008C27E1" w:rsidRPr="003D7300" w:rsidRDefault="008C27E1" w:rsidP="0034546F">
            <w:pPr>
              <w:jc w:val="right"/>
              <w:rPr>
                <w:rFonts w:asciiTheme="minorHAnsi" w:hAnsiTheme="minorHAnsi"/>
                <w:b/>
                <w:color w:val="FF0000"/>
                <w:sz w:val="20"/>
                <w:szCs w:val="20"/>
                <w:lang w:val="sr-Cyrl-BA" w:eastAsia="sr-Latn-RS"/>
              </w:rPr>
            </w:pPr>
            <w:r w:rsidRPr="00847319">
              <w:rPr>
                <w:rFonts w:asciiTheme="minorHAnsi" w:hAnsiTheme="minorHAnsi"/>
                <w:b/>
                <w:color w:val="000000" w:themeColor="text1"/>
                <w:sz w:val="20"/>
                <w:szCs w:val="20"/>
                <w:lang w:val="sr-Cyrl-BA" w:eastAsia="sr-Latn-RS"/>
              </w:rPr>
              <w:t xml:space="preserve">      Табела </w:t>
            </w:r>
            <w:r w:rsidR="0034546F">
              <w:rPr>
                <w:rFonts w:asciiTheme="minorHAnsi" w:hAnsiTheme="minorHAnsi"/>
                <w:b/>
                <w:color w:val="000000" w:themeColor="text1"/>
                <w:sz w:val="20"/>
                <w:szCs w:val="20"/>
                <w:lang w:val="sr-Cyrl-BA" w:eastAsia="sr-Latn-RS"/>
              </w:rPr>
              <w:t>4</w:t>
            </w:r>
          </w:p>
        </w:tc>
      </w:tr>
      <w:tr w:rsidR="00C120D5" w:rsidRPr="00C120D5" w:rsidTr="00C120D5">
        <w:trPr>
          <w:trHeight w:val="390"/>
        </w:trPr>
        <w:tc>
          <w:tcPr>
            <w:tcW w:w="2920" w:type="dxa"/>
            <w:gridSpan w:val="3"/>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BA"/>
              </w:rPr>
              <w:t>Финансијски посредник</w:t>
            </w:r>
          </w:p>
        </w:tc>
        <w:tc>
          <w:tcPr>
            <w:tcW w:w="1064"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BA"/>
              </w:rPr>
              <w:t>Број гаранција</w:t>
            </w:r>
          </w:p>
        </w:tc>
        <w:tc>
          <w:tcPr>
            <w:tcW w:w="1456"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BA"/>
              </w:rPr>
              <w:t>Номинални износ гаранције</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BA"/>
              </w:rPr>
              <w:t>Преостали износ гаранције</w:t>
            </w:r>
          </w:p>
        </w:tc>
        <w:tc>
          <w:tcPr>
            <w:tcW w:w="1100" w:type="dxa"/>
            <w:gridSpan w:val="2"/>
            <w:tcBorders>
              <w:top w:val="single" w:sz="4" w:space="0" w:color="auto"/>
              <w:left w:val="nil"/>
              <w:bottom w:val="nil"/>
              <w:right w:val="nil"/>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rPr>
              <w:t>Учешће</w:t>
            </w:r>
          </w:p>
        </w:tc>
        <w:tc>
          <w:tcPr>
            <w:tcW w:w="784"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BA"/>
              </w:rPr>
              <w:t>Изложеност</w:t>
            </w:r>
          </w:p>
        </w:tc>
      </w:tr>
      <w:tr w:rsidR="00C120D5" w:rsidRPr="00C120D5" w:rsidTr="00C120D5">
        <w:trPr>
          <w:trHeight w:val="315"/>
        </w:trPr>
        <w:tc>
          <w:tcPr>
            <w:tcW w:w="2920" w:type="dxa"/>
            <w:gridSpan w:val="3"/>
            <w:vMerge/>
            <w:tcBorders>
              <w:top w:val="single" w:sz="4" w:space="0" w:color="auto"/>
              <w:left w:val="single" w:sz="4" w:space="0" w:color="auto"/>
              <w:bottom w:val="single" w:sz="4" w:space="0" w:color="auto"/>
              <w:right w:val="single" w:sz="4" w:space="0" w:color="auto"/>
            </w:tcBorders>
            <w:vAlign w:val="center"/>
            <w:hideMark/>
          </w:tcPr>
          <w:p w:rsidR="00C120D5" w:rsidRPr="00C120D5" w:rsidRDefault="00C120D5" w:rsidP="00C120D5">
            <w:pPr>
              <w:jc w:val="left"/>
              <w:rPr>
                <w:rFonts w:ascii="Calibri" w:hAnsi="Calibri"/>
                <w:b/>
                <w:bCs/>
                <w:color w:val="auto"/>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C120D5" w:rsidRPr="00C120D5" w:rsidRDefault="00C120D5" w:rsidP="00C120D5">
            <w:pPr>
              <w:jc w:val="left"/>
              <w:rPr>
                <w:rFonts w:ascii="Calibri" w:hAnsi="Calibri"/>
                <w:b/>
                <w:bCs/>
                <w:color w:val="auto"/>
                <w:sz w:val="18"/>
                <w:szCs w:val="18"/>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C120D5" w:rsidRPr="00C120D5" w:rsidRDefault="00C120D5" w:rsidP="00C120D5">
            <w:pPr>
              <w:jc w:val="left"/>
              <w:rPr>
                <w:rFonts w:ascii="Calibri" w:hAnsi="Calibri"/>
                <w:b/>
                <w:bCs/>
                <w:color w:val="auto"/>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C120D5" w:rsidRPr="00C120D5" w:rsidRDefault="00C120D5" w:rsidP="00C120D5">
            <w:pPr>
              <w:jc w:val="left"/>
              <w:rPr>
                <w:rFonts w:ascii="Calibri" w:hAnsi="Calibri"/>
                <w:b/>
                <w:bCs/>
                <w:color w:val="auto"/>
                <w:sz w:val="18"/>
                <w:szCs w:val="18"/>
              </w:rPr>
            </w:pPr>
          </w:p>
        </w:tc>
        <w:tc>
          <w:tcPr>
            <w:tcW w:w="1100" w:type="dxa"/>
            <w:gridSpan w:val="2"/>
            <w:tcBorders>
              <w:top w:val="nil"/>
              <w:left w:val="nil"/>
              <w:bottom w:val="single" w:sz="4" w:space="0" w:color="auto"/>
              <w:right w:val="nil"/>
            </w:tcBorders>
            <w:shd w:val="clear" w:color="000000" w:fill="8DB3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rPr>
              <w:t> </w:t>
            </w:r>
          </w:p>
        </w:tc>
        <w:tc>
          <w:tcPr>
            <w:tcW w:w="784" w:type="dxa"/>
            <w:vMerge/>
            <w:tcBorders>
              <w:top w:val="single" w:sz="4" w:space="0" w:color="auto"/>
              <w:left w:val="single" w:sz="4" w:space="0" w:color="auto"/>
              <w:bottom w:val="single" w:sz="4" w:space="0" w:color="auto"/>
              <w:right w:val="single" w:sz="4" w:space="0" w:color="auto"/>
            </w:tcBorders>
            <w:vAlign w:val="center"/>
            <w:hideMark/>
          </w:tcPr>
          <w:p w:rsidR="00C120D5" w:rsidRPr="00C120D5" w:rsidRDefault="00C120D5" w:rsidP="00C120D5">
            <w:pPr>
              <w:jc w:val="left"/>
              <w:rPr>
                <w:rFonts w:ascii="Calibri" w:hAnsi="Calibri"/>
                <w:b/>
                <w:bCs/>
                <w:color w:val="auto"/>
                <w:sz w:val="18"/>
                <w:szCs w:val="18"/>
              </w:rPr>
            </w:pP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1C59B8">
            <w:pPr>
              <w:jc w:val="left"/>
              <w:rPr>
                <w:rFonts w:ascii="Calibri" w:hAnsi="Calibri"/>
                <w:color w:val="auto"/>
                <w:sz w:val="18"/>
                <w:szCs w:val="18"/>
              </w:rPr>
            </w:pPr>
            <w:r w:rsidRPr="00C120D5">
              <w:rPr>
                <w:rFonts w:ascii="Calibri" w:hAnsi="Calibri"/>
                <w:color w:val="auto"/>
                <w:sz w:val="18"/>
                <w:szCs w:val="18"/>
                <w:lang w:val="sr-Cyrl-BA"/>
              </w:rPr>
              <w:t>М</w:t>
            </w:r>
            <w:r w:rsidR="001C59B8">
              <w:rPr>
                <w:rFonts w:ascii="Calibri" w:hAnsi="Calibri"/>
                <w:color w:val="auto"/>
                <w:sz w:val="18"/>
                <w:szCs w:val="18"/>
                <w:lang w:val="sr-Cyrl-BA"/>
              </w:rPr>
              <w:t xml:space="preserve">Ф </w:t>
            </w:r>
            <w:r w:rsidRPr="00C120D5">
              <w:rPr>
                <w:rFonts w:ascii="Calibri" w:hAnsi="Calibri"/>
                <w:color w:val="auto"/>
                <w:sz w:val="18"/>
                <w:szCs w:val="18"/>
                <w:lang w:val="sr-Cyrl-BA"/>
              </w:rPr>
              <w:t xml:space="preserve">банка а.д. Бања Лука  </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26</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7.237.655,00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4.928.478,82</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43,42%</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18,25%</w:t>
            </w:r>
          </w:p>
        </w:tc>
      </w:tr>
      <w:tr w:rsidR="00C120D5" w:rsidRPr="00C120D5" w:rsidTr="00C120D5">
        <w:trPr>
          <w:trHeight w:val="480"/>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Latn-RS"/>
              </w:rPr>
              <w:t>Фонд за развој и запошљавање РС а.д. Бања Лука</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3</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2.415.000,00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638.981,37</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5,63%</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2,37%</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Cyrl-BA"/>
              </w:rPr>
              <w:t>Нова банка а.д. Бања Лука</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11</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3.657.490,00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2.180.521,53</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19,21%</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8,08%</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Latn-RS"/>
              </w:rPr>
              <w:t xml:space="preserve">Procredit bank д.д. Сарајево  </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5</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2.594.288,72</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2.226.005,84</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19,61%</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8,24%</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Cyrl-BA"/>
              </w:rPr>
              <w:t xml:space="preserve">БПШ банка а.д. Бања Лука  </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5</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795.000,00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444.951,57</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3,92%</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1,65%</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Latn-RS"/>
              </w:rPr>
              <w:t xml:space="preserve">Unicredit bank а.д. Бања Лука  </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2</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694.572,32</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506.999,13</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4,47%</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1,88%</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Cyrl-BA"/>
              </w:rPr>
              <w:t xml:space="preserve">Атос банка а.д. Бања Лука  </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3</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770.000,00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291.463,97</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2,57%</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1,08%</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Latn-RS"/>
              </w:rPr>
              <w:t xml:space="preserve">Ziraat bank д.д. Сарајево  </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Latn-RS"/>
              </w:rPr>
              <w:t>1</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125.000,00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41.797,04</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0,37%</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0,15%</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Cyrl-BA"/>
              </w:rPr>
              <w:t>Наша банка а.д. Бијељина</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Cyrl-RS"/>
              </w:rPr>
              <w:t>3</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85.000,00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49.702,33</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0,44%</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0,18%</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C120D5" w:rsidRPr="00C120D5" w:rsidRDefault="00C120D5" w:rsidP="00C120D5">
            <w:pPr>
              <w:jc w:val="left"/>
              <w:rPr>
                <w:rFonts w:ascii="Calibri" w:hAnsi="Calibri"/>
                <w:color w:val="auto"/>
                <w:sz w:val="18"/>
                <w:szCs w:val="18"/>
              </w:rPr>
            </w:pPr>
            <w:r w:rsidRPr="00C120D5">
              <w:rPr>
                <w:rFonts w:ascii="Calibri" w:hAnsi="Calibri"/>
                <w:color w:val="auto"/>
                <w:sz w:val="18"/>
                <w:szCs w:val="18"/>
                <w:lang w:val="sr-Latn-RS"/>
              </w:rPr>
              <w:t>Нлб банка а.д. Бања Лука</w:t>
            </w:r>
          </w:p>
        </w:tc>
        <w:tc>
          <w:tcPr>
            <w:tcW w:w="106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lang w:val="sr-Latn-RS"/>
              </w:rPr>
              <w:t>1</w:t>
            </w:r>
          </w:p>
        </w:tc>
        <w:tc>
          <w:tcPr>
            <w:tcW w:w="1456"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75.000,00</w:t>
            </w:r>
          </w:p>
        </w:tc>
        <w:tc>
          <w:tcPr>
            <w:tcW w:w="1480"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right"/>
              <w:rPr>
                <w:rFonts w:ascii="Calibri" w:hAnsi="Calibri"/>
                <w:color w:val="auto"/>
                <w:sz w:val="18"/>
                <w:szCs w:val="18"/>
              </w:rPr>
            </w:pPr>
            <w:r w:rsidRPr="00C120D5">
              <w:rPr>
                <w:rFonts w:ascii="Calibri" w:hAnsi="Calibri"/>
                <w:color w:val="auto"/>
                <w:sz w:val="18"/>
                <w:szCs w:val="18"/>
                <w:lang w:val="sr-Cyrl-RS"/>
              </w:rPr>
              <w:t>41.420,40</w:t>
            </w:r>
          </w:p>
        </w:tc>
        <w:tc>
          <w:tcPr>
            <w:tcW w:w="1100" w:type="dxa"/>
            <w:gridSpan w:val="2"/>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0,36%</w:t>
            </w:r>
          </w:p>
        </w:tc>
        <w:tc>
          <w:tcPr>
            <w:tcW w:w="784" w:type="dxa"/>
            <w:tcBorders>
              <w:top w:val="nil"/>
              <w:left w:val="nil"/>
              <w:bottom w:val="single" w:sz="4" w:space="0" w:color="auto"/>
              <w:right w:val="single" w:sz="4" w:space="0" w:color="auto"/>
            </w:tcBorders>
            <w:shd w:val="clear" w:color="auto" w:fill="auto"/>
            <w:vAlign w:val="center"/>
            <w:hideMark/>
          </w:tcPr>
          <w:p w:rsidR="00C120D5" w:rsidRPr="00C120D5" w:rsidRDefault="00C120D5" w:rsidP="00C120D5">
            <w:pPr>
              <w:jc w:val="center"/>
              <w:rPr>
                <w:rFonts w:ascii="Calibri" w:hAnsi="Calibri"/>
                <w:color w:val="auto"/>
                <w:sz w:val="18"/>
                <w:szCs w:val="18"/>
              </w:rPr>
            </w:pPr>
            <w:r w:rsidRPr="00C120D5">
              <w:rPr>
                <w:rFonts w:ascii="Calibri" w:hAnsi="Calibri"/>
                <w:color w:val="auto"/>
                <w:sz w:val="18"/>
                <w:szCs w:val="18"/>
              </w:rPr>
              <w:t>0,15%</w:t>
            </w:r>
          </w:p>
        </w:tc>
      </w:tr>
      <w:tr w:rsidR="00C120D5" w:rsidRPr="00C120D5" w:rsidTr="00C120D5">
        <w:trPr>
          <w:trHeight w:val="315"/>
        </w:trPr>
        <w:tc>
          <w:tcPr>
            <w:tcW w:w="2920" w:type="dxa"/>
            <w:gridSpan w:val="3"/>
            <w:tcBorders>
              <w:top w:val="nil"/>
              <w:left w:val="single" w:sz="4" w:space="0" w:color="auto"/>
              <w:bottom w:val="single" w:sz="4" w:space="0" w:color="auto"/>
              <w:right w:val="single" w:sz="4" w:space="0" w:color="auto"/>
            </w:tcBorders>
            <w:shd w:val="clear" w:color="000000" w:fill="8DB4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BA"/>
              </w:rPr>
              <w:t>УКУПНО</w:t>
            </w:r>
          </w:p>
        </w:tc>
        <w:tc>
          <w:tcPr>
            <w:tcW w:w="1064" w:type="dxa"/>
            <w:tcBorders>
              <w:top w:val="nil"/>
              <w:left w:val="nil"/>
              <w:bottom w:val="single" w:sz="4" w:space="0" w:color="auto"/>
              <w:right w:val="single" w:sz="4" w:space="0" w:color="auto"/>
            </w:tcBorders>
            <w:shd w:val="clear" w:color="000000" w:fill="8DB4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RS"/>
              </w:rPr>
              <w:t>60</w:t>
            </w:r>
          </w:p>
        </w:tc>
        <w:tc>
          <w:tcPr>
            <w:tcW w:w="1456" w:type="dxa"/>
            <w:tcBorders>
              <w:top w:val="nil"/>
              <w:left w:val="nil"/>
              <w:bottom w:val="single" w:sz="4" w:space="0" w:color="auto"/>
              <w:right w:val="single" w:sz="4" w:space="0" w:color="auto"/>
            </w:tcBorders>
            <w:shd w:val="clear" w:color="000000" w:fill="8DB4E2"/>
            <w:vAlign w:val="center"/>
            <w:hideMark/>
          </w:tcPr>
          <w:p w:rsidR="00C120D5" w:rsidRPr="00C120D5" w:rsidRDefault="00C120D5" w:rsidP="00C120D5">
            <w:pPr>
              <w:jc w:val="right"/>
              <w:rPr>
                <w:rFonts w:ascii="Calibri" w:hAnsi="Calibri"/>
                <w:b/>
                <w:bCs/>
                <w:color w:val="auto"/>
                <w:sz w:val="18"/>
                <w:szCs w:val="18"/>
              </w:rPr>
            </w:pPr>
            <w:r w:rsidRPr="00C120D5">
              <w:rPr>
                <w:rFonts w:ascii="Calibri" w:hAnsi="Calibri"/>
                <w:b/>
                <w:bCs/>
                <w:color w:val="auto"/>
                <w:sz w:val="18"/>
                <w:szCs w:val="18"/>
                <w:lang w:val="sr-Cyrl-RS"/>
              </w:rPr>
              <w:t>18.449.006,04</w:t>
            </w:r>
          </w:p>
        </w:tc>
        <w:tc>
          <w:tcPr>
            <w:tcW w:w="1480" w:type="dxa"/>
            <w:tcBorders>
              <w:top w:val="nil"/>
              <w:left w:val="nil"/>
              <w:bottom w:val="single" w:sz="4" w:space="0" w:color="auto"/>
              <w:right w:val="single" w:sz="4" w:space="0" w:color="auto"/>
            </w:tcBorders>
            <w:shd w:val="clear" w:color="000000" w:fill="8DB4E2"/>
            <w:vAlign w:val="center"/>
            <w:hideMark/>
          </w:tcPr>
          <w:p w:rsidR="00C120D5" w:rsidRPr="00C120D5" w:rsidRDefault="00C120D5" w:rsidP="00C120D5">
            <w:pPr>
              <w:jc w:val="right"/>
              <w:rPr>
                <w:rFonts w:ascii="Calibri" w:hAnsi="Calibri"/>
                <w:b/>
                <w:bCs/>
                <w:color w:val="auto"/>
                <w:sz w:val="18"/>
                <w:szCs w:val="18"/>
              </w:rPr>
            </w:pPr>
            <w:r w:rsidRPr="00C120D5">
              <w:rPr>
                <w:rFonts w:ascii="Calibri" w:hAnsi="Calibri"/>
                <w:b/>
                <w:bCs/>
                <w:color w:val="auto"/>
                <w:sz w:val="18"/>
                <w:szCs w:val="18"/>
                <w:lang w:val="sr-Latn-RS"/>
              </w:rPr>
              <w:t>11.350.322,00</w:t>
            </w:r>
          </w:p>
        </w:tc>
        <w:tc>
          <w:tcPr>
            <w:tcW w:w="1100" w:type="dxa"/>
            <w:gridSpan w:val="2"/>
            <w:tcBorders>
              <w:top w:val="nil"/>
              <w:left w:val="nil"/>
              <w:bottom w:val="single" w:sz="4" w:space="0" w:color="auto"/>
              <w:right w:val="single" w:sz="4" w:space="0" w:color="auto"/>
            </w:tcBorders>
            <w:shd w:val="clear" w:color="000000" w:fill="8DB4E2"/>
            <w:vAlign w:val="center"/>
            <w:hideMark/>
          </w:tcPr>
          <w:p w:rsidR="00C120D5" w:rsidRPr="00C120D5" w:rsidRDefault="00C120D5" w:rsidP="00C120D5">
            <w:pPr>
              <w:jc w:val="center"/>
              <w:rPr>
                <w:rFonts w:ascii="Calibri" w:hAnsi="Calibri"/>
                <w:b/>
                <w:bCs/>
                <w:color w:val="auto"/>
                <w:sz w:val="18"/>
                <w:szCs w:val="18"/>
              </w:rPr>
            </w:pPr>
            <w:r w:rsidRPr="00C120D5">
              <w:rPr>
                <w:rFonts w:ascii="Calibri" w:hAnsi="Calibri"/>
                <w:b/>
                <w:bCs/>
                <w:color w:val="auto"/>
                <w:sz w:val="18"/>
                <w:szCs w:val="18"/>
                <w:lang w:val="sr-Cyrl-RS"/>
              </w:rPr>
              <w:t>100,00%</w:t>
            </w:r>
          </w:p>
        </w:tc>
        <w:tc>
          <w:tcPr>
            <w:tcW w:w="784" w:type="dxa"/>
            <w:tcBorders>
              <w:top w:val="nil"/>
              <w:left w:val="nil"/>
              <w:bottom w:val="single" w:sz="4" w:space="0" w:color="auto"/>
              <w:right w:val="single" w:sz="4" w:space="0" w:color="auto"/>
            </w:tcBorders>
            <w:shd w:val="clear" w:color="000000" w:fill="8DB4E2"/>
            <w:vAlign w:val="center"/>
            <w:hideMark/>
          </w:tcPr>
          <w:p w:rsidR="00C120D5" w:rsidRPr="00C120D5" w:rsidRDefault="00C120D5" w:rsidP="00C120D5">
            <w:pPr>
              <w:jc w:val="left"/>
              <w:rPr>
                <w:b/>
                <w:bCs/>
                <w:color w:val="auto"/>
              </w:rPr>
            </w:pPr>
            <w:r w:rsidRPr="00C120D5">
              <w:rPr>
                <w:b/>
                <w:bCs/>
                <w:color w:val="auto"/>
              </w:rPr>
              <w:t> </w:t>
            </w:r>
          </w:p>
        </w:tc>
      </w:tr>
    </w:tbl>
    <w:p w:rsidR="008B5A35" w:rsidRPr="00C120D5" w:rsidRDefault="008B5A35" w:rsidP="00D44C0D">
      <w:pPr>
        <w:autoSpaceDE w:val="0"/>
        <w:autoSpaceDN w:val="0"/>
        <w:adjustRightInd w:val="0"/>
        <w:rPr>
          <w:rFonts w:asciiTheme="minorHAnsi" w:eastAsiaTheme="minorHAnsi" w:hAnsiTheme="minorHAnsi"/>
          <w:color w:val="000000" w:themeColor="text1"/>
          <w:sz w:val="20"/>
          <w:szCs w:val="20"/>
          <w:lang w:val="sr-Cyrl-BA" w:eastAsia="en-US"/>
        </w:rPr>
      </w:pPr>
    </w:p>
    <w:p w:rsidR="00D44C0D" w:rsidRPr="00C120D5" w:rsidRDefault="00D44C0D" w:rsidP="00D44C0D">
      <w:pPr>
        <w:autoSpaceDE w:val="0"/>
        <w:autoSpaceDN w:val="0"/>
        <w:adjustRightInd w:val="0"/>
        <w:rPr>
          <w:rFonts w:asciiTheme="minorHAnsi" w:eastAsiaTheme="minorHAnsi" w:hAnsiTheme="minorHAnsi"/>
          <w:color w:val="000000" w:themeColor="text1"/>
          <w:sz w:val="20"/>
          <w:szCs w:val="20"/>
          <w:lang w:val="sr-Cyrl-BA" w:eastAsia="en-US"/>
        </w:rPr>
      </w:pPr>
      <w:r w:rsidRPr="00C120D5">
        <w:rPr>
          <w:rFonts w:asciiTheme="minorHAnsi" w:eastAsiaTheme="minorHAnsi" w:hAnsiTheme="minorHAnsi"/>
          <w:color w:val="000000" w:themeColor="text1"/>
          <w:sz w:val="20"/>
          <w:szCs w:val="20"/>
          <w:lang w:val="sr-Cyrl-BA" w:eastAsia="en-US"/>
        </w:rPr>
        <w:t>На дан 31.12.202</w:t>
      </w:r>
      <w:r w:rsidR="00C120D5" w:rsidRPr="00C120D5">
        <w:rPr>
          <w:rFonts w:asciiTheme="minorHAnsi" w:eastAsiaTheme="minorHAnsi" w:hAnsiTheme="minorHAnsi"/>
          <w:color w:val="000000" w:themeColor="text1"/>
          <w:sz w:val="20"/>
          <w:szCs w:val="20"/>
          <w:lang w:val="sr-Cyrl-BA" w:eastAsia="en-US"/>
        </w:rPr>
        <w:t>4</w:t>
      </w:r>
      <w:r w:rsidRPr="00C120D5">
        <w:rPr>
          <w:rFonts w:asciiTheme="minorHAnsi" w:eastAsiaTheme="minorHAnsi" w:hAnsiTheme="minorHAnsi"/>
          <w:color w:val="000000" w:themeColor="text1"/>
          <w:sz w:val="20"/>
          <w:szCs w:val="20"/>
          <w:lang w:val="sr-Cyrl-BA" w:eastAsia="en-US"/>
        </w:rPr>
        <w:t>. године</w:t>
      </w:r>
      <w:r w:rsidR="0055687E" w:rsidRPr="00C120D5">
        <w:rPr>
          <w:rFonts w:asciiTheme="minorHAnsi" w:eastAsiaTheme="minorHAnsi" w:hAnsiTheme="minorHAnsi"/>
          <w:color w:val="000000" w:themeColor="text1"/>
          <w:sz w:val="20"/>
          <w:szCs w:val="20"/>
          <w:lang w:val="sr-Cyrl-BA" w:eastAsia="en-US"/>
        </w:rPr>
        <w:t>, активно је</w:t>
      </w:r>
      <w:r w:rsidRPr="00C120D5">
        <w:rPr>
          <w:rFonts w:asciiTheme="minorHAnsi" w:eastAsiaTheme="minorHAnsi" w:hAnsiTheme="minorHAnsi"/>
          <w:color w:val="000000" w:themeColor="text1"/>
          <w:sz w:val="20"/>
          <w:szCs w:val="20"/>
          <w:lang w:val="sr-Cyrl-BA" w:eastAsia="en-US"/>
        </w:rPr>
        <w:t xml:space="preserve"> </w:t>
      </w:r>
      <w:r w:rsidR="00C120D5" w:rsidRPr="00C120D5">
        <w:rPr>
          <w:rFonts w:asciiTheme="minorHAnsi" w:eastAsiaTheme="minorHAnsi" w:hAnsiTheme="minorHAnsi"/>
          <w:color w:val="000000" w:themeColor="text1"/>
          <w:sz w:val="20"/>
          <w:szCs w:val="20"/>
          <w:lang w:val="sr-Cyrl-BA" w:eastAsia="en-US"/>
        </w:rPr>
        <w:t>60</w:t>
      </w:r>
      <w:r w:rsidR="0055687E" w:rsidRPr="00C120D5">
        <w:rPr>
          <w:rFonts w:asciiTheme="minorHAnsi" w:eastAsiaTheme="minorHAnsi" w:hAnsiTheme="minorHAnsi"/>
          <w:color w:val="000000" w:themeColor="text1"/>
          <w:sz w:val="20"/>
          <w:szCs w:val="20"/>
          <w:lang w:val="sr-Cyrl-BA" w:eastAsia="en-US"/>
        </w:rPr>
        <w:t xml:space="preserve"> појединачних гаранција одобрених у номиналном износу од </w:t>
      </w:r>
      <w:r w:rsidR="00C120D5" w:rsidRPr="00C120D5">
        <w:rPr>
          <w:rFonts w:asciiTheme="minorHAnsi" w:eastAsiaTheme="minorHAnsi" w:hAnsiTheme="minorHAnsi"/>
          <w:color w:val="000000" w:themeColor="text1"/>
          <w:sz w:val="20"/>
          <w:szCs w:val="20"/>
          <w:lang w:val="sr-Cyrl-BA" w:eastAsia="en-US"/>
        </w:rPr>
        <w:t>18.449.006,04</w:t>
      </w:r>
      <w:r w:rsidR="0055687E" w:rsidRPr="00C120D5">
        <w:rPr>
          <w:rFonts w:asciiTheme="minorHAnsi" w:eastAsiaTheme="minorHAnsi" w:hAnsiTheme="minorHAnsi"/>
          <w:color w:val="000000" w:themeColor="text1"/>
          <w:sz w:val="20"/>
          <w:szCs w:val="20"/>
          <w:lang w:val="sr-Cyrl-BA" w:eastAsia="en-US"/>
        </w:rPr>
        <w:t xml:space="preserve"> КМ</w:t>
      </w:r>
      <w:r w:rsidR="008C27E1" w:rsidRPr="00C120D5">
        <w:rPr>
          <w:rFonts w:asciiTheme="minorHAnsi" w:eastAsiaTheme="minorHAnsi" w:hAnsiTheme="minorHAnsi"/>
          <w:color w:val="000000" w:themeColor="text1"/>
          <w:sz w:val="20"/>
          <w:szCs w:val="20"/>
          <w:lang w:val="sr-Cyrl-BA" w:eastAsia="en-US"/>
        </w:rPr>
        <w:t>, чије</w:t>
      </w:r>
      <w:r w:rsidR="0055687E" w:rsidRPr="00C120D5">
        <w:rPr>
          <w:rFonts w:asciiTheme="minorHAnsi" w:eastAsiaTheme="minorHAnsi" w:hAnsiTheme="minorHAnsi"/>
          <w:color w:val="000000" w:themeColor="text1"/>
          <w:sz w:val="20"/>
          <w:szCs w:val="20"/>
          <w:lang w:val="sr-Cyrl-BA" w:eastAsia="en-US"/>
        </w:rPr>
        <w:t xml:space="preserve"> стање </w:t>
      </w:r>
      <w:r w:rsidR="008C27E1" w:rsidRPr="00C120D5">
        <w:rPr>
          <w:rFonts w:asciiTheme="minorHAnsi" w:eastAsiaTheme="minorHAnsi" w:hAnsiTheme="minorHAnsi"/>
          <w:color w:val="000000" w:themeColor="text1"/>
          <w:sz w:val="20"/>
          <w:szCs w:val="20"/>
          <w:lang w:val="sr-Cyrl-BA" w:eastAsia="en-US"/>
        </w:rPr>
        <w:t xml:space="preserve">износи </w:t>
      </w:r>
      <w:r w:rsidR="00C120D5" w:rsidRPr="00C120D5">
        <w:rPr>
          <w:rFonts w:asciiTheme="minorHAnsi" w:eastAsiaTheme="minorHAnsi" w:hAnsiTheme="minorHAnsi"/>
          <w:color w:val="000000" w:themeColor="text1"/>
          <w:sz w:val="20"/>
          <w:szCs w:val="20"/>
          <w:lang w:val="sr-Cyrl-BA" w:eastAsia="en-US"/>
        </w:rPr>
        <w:t>11.350.322,00</w:t>
      </w:r>
      <w:r w:rsidR="0055687E" w:rsidRPr="00C120D5">
        <w:rPr>
          <w:rFonts w:asciiTheme="minorHAnsi" w:eastAsiaTheme="minorHAnsi" w:hAnsiTheme="minorHAnsi"/>
          <w:color w:val="000000" w:themeColor="text1"/>
          <w:sz w:val="20"/>
          <w:szCs w:val="20"/>
          <w:lang w:val="sr-Cyrl-BA" w:eastAsia="en-US"/>
        </w:rPr>
        <w:t xml:space="preserve"> КМ.</w:t>
      </w:r>
      <w:r w:rsidRPr="00C120D5">
        <w:rPr>
          <w:rFonts w:asciiTheme="minorHAnsi" w:eastAsiaTheme="minorHAnsi" w:hAnsiTheme="minorHAnsi"/>
          <w:color w:val="000000" w:themeColor="text1"/>
          <w:sz w:val="20"/>
          <w:szCs w:val="20"/>
          <w:lang w:val="sr-Cyrl-BA" w:eastAsia="en-US"/>
        </w:rPr>
        <w:t xml:space="preserve"> </w:t>
      </w:r>
      <w:r w:rsidR="0055687E" w:rsidRPr="00C120D5">
        <w:rPr>
          <w:rFonts w:asciiTheme="minorHAnsi" w:eastAsiaTheme="minorHAnsi" w:hAnsiTheme="minorHAnsi"/>
          <w:color w:val="000000" w:themeColor="text1"/>
          <w:sz w:val="20"/>
          <w:szCs w:val="20"/>
          <w:lang w:val="sr-Cyrl-BA" w:eastAsia="en-US"/>
        </w:rPr>
        <w:t>У структури активних гаранција доминирају гаранције издане у корист МФ банке а.д. Бања Лука</w:t>
      </w:r>
      <w:r w:rsidR="008D3DAA" w:rsidRPr="00C120D5">
        <w:rPr>
          <w:rFonts w:asciiTheme="minorHAnsi" w:eastAsiaTheme="minorHAnsi" w:hAnsiTheme="minorHAnsi"/>
          <w:color w:val="000000" w:themeColor="text1"/>
          <w:sz w:val="20"/>
          <w:szCs w:val="20"/>
          <w:lang w:val="sr-Cyrl-BA" w:eastAsia="en-US"/>
        </w:rPr>
        <w:t>. Њихово учешће у укупно активним гаранцијама на дан 31.12.202</w:t>
      </w:r>
      <w:r w:rsidR="00C120D5" w:rsidRPr="00C120D5">
        <w:rPr>
          <w:rFonts w:asciiTheme="minorHAnsi" w:eastAsiaTheme="minorHAnsi" w:hAnsiTheme="minorHAnsi"/>
          <w:color w:val="000000" w:themeColor="text1"/>
          <w:sz w:val="20"/>
          <w:szCs w:val="20"/>
          <w:lang w:val="sr-Cyrl-BA" w:eastAsia="en-US"/>
        </w:rPr>
        <w:t>4</w:t>
      </w:r>
      <w:r w:rsidR="008D3DAA" w:rsidRPr="00C120D5">
        <w:rPr>
          <w:rFonts w:asciiTheme="minorHAnsi" w:eastAsiaTheme="minorHAnsi" w:hAnsiTheme="minorHAnsi"/>
          <w:color w:val="000000" w:themeColor="text1"/>
          <w:sz w:val="20"/>
          <w:szCs w:val="20"/>
          <w:lang w:val="sr-Cyrl-BA" w:eastAsia="en-US"/>
        </w:rPr>
        <w:t xml:space="preserve">. године износи </w:t>
      </w:r>
      <w:r w:rsidR="00C120D5" w:rsidRPr="00C120D5">
        <w:rPr>
          <w:rFonts w:asciiTheme="minorHAnsi" w:eastAsiaTheme="minorHAnsi" w:hAnsiTheme="minorHAnsi"/>
          <w:color w:val="000000" w:themeColor="text1"/>
          <w:sz w:val="20"/>
          <w:szCs w:val="20"/>
          <w:lang w:val="sr-Cyrl-BA" w:eastAsia="en-US"/>
        </w:rPr>
        <w:t>43,42</w:t>
      </w:r>
      <w:r w:rsidR="008D3DAA" w:rsidRPr="00C120D5">
        <w:rPr>
          <w:rFonts w:asciiTheme="minorHAnsi" w:eastAsiaTheme="minorHAnsi" w:hAnsiTheme="minorHAnsi"/>
          <w:color w:val="000000" w:themeColor="text1"/>
          <w:sz w:val="20"/>
          <w:szCs w:val="20"/>
          <w:lang w:val="sr-Cyrl-BA" w:eastAsia="en-US"/>
        </w:rPr>
        <w:t>%</w:t>
      </w:r>
      <w:r w:rsidR="00254480" w:rsidRPr="00C120D5">
        <w:rPr>
          <w:rFonts w:asciiTheme="minorHAnsi" w:eastAsiaTheme="minorHAnsi" w:hAnsiTheme="minorHAnsi"/>
          <w:color w:val="000000" w:themeColor="text1"/>
          <w:sz w:val="20"/>
          <w:szCs w:val="20"/>
          <w:lang w:val="sr-Cyrl-BA" w:eastAsia="en-US"/>
        </w:rPr>
        <w:t xml:space="preserve"> или </w:t>
      </w:r>
      <w:r w:rsidR="00C120D5" w:rsidRPr="00C120D5">
        <w:rPr>
          <w:rFonts w:asciiTheme="minorHAnsi" w:eastAsiaTheme="minorHAnsi" w:hAnsiTheme="minorHAnsi"/>
          <w:color w:val="000000" w:themeColor="text1"/>
          <w:sz w:val="20"/>
          <w:szCs w:val="20"/>
          <w:lang w:val="sr-Cyrl-BA" w:eastAsia="en-US"/>
        </w:rPr>
        <w:t xml:space="preserve">4.928.478,82 </w:t>
      </w:r>
      <w:r w:rsidR="00254480" w:rsidRPr="00C120D5">
        <w:rPr>
          <w:rFonts w:asciiTheme="minorHAnsi" w:eastAsiaTheme="minorHAnsi" w:hAnsiTheme="minorHAnsi"/>
          <w:color w:val="000000" w:themeColor="text1"/>
          <w:sz w:val="20"/>
          <w:szCs w:val="20"/>
          <w:lang w:val="sr-Cyrl-BA" w:eastAsia="en-US"/>
        </w:rPr>
        <w:t>КМ у апсолутном износу</w:t>
      </w:r>
      <w:r w:rsidR="008D3DAA" w:rsidRPr="00C120D5">
        <w:rPr>
          <w:rFonts w:asciiTheme="minorHAnsi" w:eastAsiaTheme="minorHAnsi" w:hAnsiTheme="minorHAnsi"/>
          <w:color w:val="000000" w:themeColor="text1"/>
          <w:sz w:val="20"/>
          <w:szCs w:val="20"/>
          <w:lang w:val="sr-Cyrl-BA" w:eastAsia="en-US"/>
        </w:rPr>
        <w:t xml:space="preserve">. На другом мјесту се налази </w:t>
      </w:r>
      <w:r w:rsidR="001C59B8">
        <w:rPr>
          <w:rFonts w:asciiTheme="minorHAnsi" w:hAnsiTheme="minorHAnsi"/>
          <w:color w:val="000000" w:themeColor="text1"/>
          <w:sz w:val="20"/>
          <w:szCs w:val="20"/>
          <w:lang w:val="sr-Latn-RS"/>
        </w:rPr>
        <w:t xml:space="preserve">Procredit bank д.д. Сарајево </w:t>
      </w:r>
      <w:r w:rsidR="008D3DAA" w:rsidRPr="00C120D5">
        <w:rPr>
          <w:rFonts w:asciiTheme="minorHAnsi" w:eastAsiaTheme="minorHAnsi" w:hAnsiTheme="minorHAnsi"/>
          <w:color w:val="000000" w:themeColor="text1"/>
          <w:sz w:val="20"/>
          <w:szCs w:val="20"/>
          <w:lang w:val="sr-Cyrl-BA" w:eastAsia="en-US"/>
        </w:rPr>
        <w:t xml:space="preserve">, а </w:t>
      </w:r>
      <w:r w:rsidR="001C59B8">
        <w:rPr>
          <w:rFonts w:asciiTheme="minorHAnsi" w:eastAsiaTheme="minorHAnsi" w:hAnsiTheme="minorHAnsi"/>
          <w:color w:val="000000" w:themeColor="text1"/>
          <w:sz w:val="20"/>
          <w:szCs w:val="20"/>
          <w:lang w:val="sr-Cyrl-BA" w:eastAsia="en-US"/>
        </w:rPr>
        <w:t xml:space="preserve">активне </w:t>
      </w:r>
      <w:r w:rsidR="008D3DAA" w:rsidRPr="00C120D5">
        <w:rPr>
          <w:rFonts w:asciiTheme="minorHAnsi" w:eastAsiaTheme="minorHAnsi" w:hAnsiTheme="minorHAnsi"/>
          <w:color w:val="000000" w:themeColor="text1"/>
          <w:sz w:val="20"/>
          <w:szCs w:val="20"/>
          <w:lang w:val="sr-Cyrl-BA" w:eastAsia="en-US"/>
        </w:rPr>
        <w:t>гаранције издане у ње</w:t>
      </w:r>
      <w:r w:rsidR="00C120D5" w:rsidRPr="00C120D5">
        <w:rPr>
          <w:rFonts w:asciiTheme="minorHAnsi" w:eastAsiaTheme="minorHAnsi" w:hAnsiTheme="minorHAnsi"/>
          <w:color w:val="000000" w:themeColor="text1"/>
          <w:sz w:val="20"/>
          <w:szCs w:val="20"/>
          <w:lang w:val="sr-Cyrl-BA" w:eastAsia="en-US"/>
        </w:rPr>
        <w:t>н</w:t>
      </w:r>
      <w:r w:rsidR="008D3DAA" w:rsidRPr="00C120D5">
        <w:rPr>
          <w:rFonts w:asciiTheme="minorHAnsi" w:eastAsiaTheme="minorHAnsi" w:hAnsiTheme="minorHAnsi"/>
          <w:color w:val="000000" w:themeColor="text1"/>
          <w:sz w:val="20"/>
          <w:szCs w:val="20"/>
          <w:lang w:val="sr-Cyrl-BA" w:eastAsia="en-US"/>
        </w:rPr>
        <w:t xml:space="preserve">у корист имају учешће од </w:t>
      </w:r>
      <w:r w:rsidR="00C120D5" w:rsidRPr="00C120D5">
        <w:rPr>
          <w:rFonts w:asciiTheme="minorHAnsi" w:eastAsiaTheme="minorHAnsi" w:hAnsiTheme="minorHAnsi"/>
          <w:color w:val="000000" w:themeColor="text1"/>
          <w:sz w:val="20"/>
          <w:szCs w:val="20"/>
          <w:lang w:val="sr-Cyrl-BA" w:eastAsia="en-US"/>
        </w:rPr>
        <w:t>19,61</w:t>
      </w:r>
      <w:r w:rsidR="008D3DAA" w:rsidRPr="00C120D5">
        <w:rPr>
          <w:rFonts w:asciiTheme="minorHAnsi" w:eastAsiaTheme="minorHAnsi" w:hAnsiTheme="minorHAnsi"/>
          <w:color w:val="000000" w:themeColor="text1"/>
          <w:sz w:val="20"/>
          <w:szCs w:val="20"/>
          <w:lang w:val="sr-Cyrl-BA" w:eastAsia="en-US"/>
        </w:rPr>
        <w:t>%</w:t>
      </w:r>
      <w:r w:rsidR="00254480" w:rsidRPr="00C120D5">
        <w:rPr>
          <w:rFonts w:asciiTheme="minorHAnsi" w:eastAsiaTheme="minorHAnsi" w:hAnsiTheme="minorHAnsi"/>
          <w:color w:val="000000" w:themeColor="text1"/>
          <w:sz w:val="20"/>
          <w:szCs w:val="20"/>
          <w:lang w:val="sr-Cyrl-BA" w:eastAsia="en-US"/>
        </w:rPr>
        <w:t xml:space="preserve">, што је </w:t>
      </w:r>
      <w:r w:rsidR="00C120D5" w:rsidRPr="00C120D5">
        <w:rPr>
          <w:rFonts w:asciiTheme="minorHAnsi" w:hAnsiTheme="minorHAnsi"/>
          <w:color w:val="000000" w:themeColor="text1"/>
          <w:sz w:val="20"/>
          <w:szCs w:val="20"/>
          <w:lang w:val="sr-Cyrl-RS"/>
        </w:rPr>
        <w:t xml:space="preserve">2.226.005,84 </w:t>
      </w:r>
      <w:r w:rsidR="00254480" w:rsidRPr="00C120D5">
        <w:rPr>
          <w:rFonts w:asciiTheme="minorHAnsi" w:eastAsiaTheme="minorHAnsi" w:hAnsiTheme="minorHAnsi"/>
          <w:color w:val="000000" w:themeColor="text1"/>
          <w:sz w:val="20"/>
          <w:szCs w:val="20"/>
          <w:lang w:val="sr-Cyrl-BA" w:eastAsia="en-US"/>
        </w:rPr>
        <w:t>КМ у апсолутном износу</w:t>
      </w:r>
      <w:r w:rsidR="008D3DAA" w:rsidRPr="00C120D5">
        <w:rPr>
          <w:rFonts w:asciiTheme="minorHAnsi" w:eastAsiaTheme="minorHAnsi" w:hAnsiTheme="minorHAnsi"/>
          <w:color w:val="000000" w:themeColor="text1"/>
          <w:sz w:val="20"/>
          <w:szCs w:val="20"/>
          <w:lang w:val="sr-Cyrl-BA" w:eastAsia="en-US"/>
        </w:rPr>
        <w:t xml:space="preserve">. </w:t>
      </w:r>
      <w:r w:rsidR="008C27E1" w:rsidRPr="00C120D5">
        <w:rPr>
          <w:rFonts w:asciiTheme="minorHAnsi" w:eastAsiaTheme="minorHAnsi" w:hAnsiTheme="minorHAnsi"/>
          <w:color w:val="000000" w:themeColor="text1"/>
          <w:sz w:val="20"/>
          <w:szCs w:val="20"/>
          <w:lang w:val="sr-Cyrl-BA" w:eastAsia="en-US"/>
        </w:rPr>
        <w:t xml:space="preserve">Преостали износ гаранција изданих у корист </w:t>
      </w:r>
      <w:r w:rsidR="00C120D5" w:rsidRPr="00C120D5">
        <w:rPr>
          <w:rFonts w:asciiTheme="minorHAnsi" w:eastAsiaTheme="minorHAnsi" w:hAnsiTheme="minorHAnsi"/>
          <w:color w:val="000000" w:themeColor="text1"/>
          <w:sz w:val="20"/>
          <w:szCs w:val="20"/>
          <w:lang w:val="sr-Cyrl-BA" w:eastAsia="en-US"/>
        </w:rPr>
        <w:t xml:space="preserve">Нове банке а.д. Бања Лука </w:t>
      </w:r>
      <w:r w:rsidR="008C27E1" w:rsidRPr="00C120D5">
        <w:rPr>
          <w:rFonts w:asciiTheme="minorHAnsi" w:eastAsiaTheme="minorHAnsi" w:hAnsiTheme="minorHAnsi"/>
          <w:color w:val="000000" w:themeColor="text1"/>
          <w:sz w:val="20"/>
          <w:szCs w:val="20"/>
          <w:lang w:val="sr-Cyrl-BA" w:eastAsia="en-US"/>
        </w:rPr>
        <w:t>има</w:t>
      </w:r>
      <w:r w:rsidR="00C120D5" w:rsidRPr="00C120D5">
        <w:rPr>
          <w:rFonts w:asciiTheme="minorHAnsi" w:eastAsiaTheme="minorHAnsi" w:hAnsiTheme="minorHAnsi"/>
          <w:color w:val="000000" w:themeColor="text1"/>
          <w:sz w:val="20"/>
          <w:szCs w:val="20"/>
          <w:lang w:val="sr-Cyrl-BA" w:eastAsia="en-US"/>
        </w:rPr>
        <w:t xml:space="preserve">ју </w:t>
      </w:r>
      <w:r w:rsidR="008C27E1" w:rsidRPr="00C120D5">
        <w:rPr>
          <w:rFonts w:asciiTheme="minorHAnsi" w:eastAsiaTheme="minorHAnsi" w:hAnsiTheme="minorHAnsi"/>
          <w:color w:val="000000" w:themeColor="text1"/>
          <w:sz w:val="20"/>
          <w:szCs w:val="20"/>
          <w:lang w:val="sr-Cyrl-BA" w:eastAsia="en-US"/>
        </w:rPr>
        <w:t xml:space="preserve"> учешће од </w:t>
      </w:r>
      <w:r w:rsidR="00C120D5" w:rsidRPr="00C120D5">
        <w:rPr>
          <w:rFonts w:asciiTheme="minorHAnsi" w:eastAsiaTheme="minorHAnsi" w:hAnsiTheme="minorHAnsi"/>
          <w:color w:val="000000" w:themeColor="text1"/>
          <w:sz w:val="20"/>
          <w:szCs w:val="20"/>
          <w:lang w:val="sr-Cyrl-BA" w:eastAsia="en-US"/>
        </w:rPr>
        <w:t>19,21 %.</w:t>
      </w:r>
    </w:p>
    <w:p w:rsidR="00C120D5" w:rsidRPr="00C120D5" w:rsidRDefault="00C120D5" w:rsidP="00D44C0D">
      <w:pPr>
        <w:autoSpaceDE w:val="0"/>
        <w:autoSpaceDN w:val="0"/>
        <w:adjustRightInd w:val="0"/>
        <w:rPr>
          <w:rFonts w:asciiTheme="minorHAnsi" w:eastAsiaTheme="minorHAnsi" w:hAnsiTheme="minorHAnsi"/>
          <w:color w:val="000000" w:themeColor="text1"/>
          <w:sz w:val="20"/>
          <w:szCs w:val="20"/>
          <w:lang w:val="sr-Cyrl-BA" w:eastAsia="en-US"/>
        </w:rPr>
      </w:pPr>
    </w:p>
    <w:p w:rsidR="008C27E1" w:rsidRPr="00C120D5" w:rsidRDefault="00444987" w:rsidP="00D44C0D">
      <w:pPr>
        <w:autoSpaceDE w:val="0"/>
        <w:autoSpaceDN w:val="0"/>
        <w:adjustRightInd w:val="0"/>
        <w:rPr>
          <w:rFonts w:asciiTheme="minorHAnsi" w:eastAsiaTheme="minorHAnsi" w:hAnsiTheme="minorHAnsi"/>
          <w:color w:val="000000" w:themeColor="text1"/>
          <w:sz w:val="20"/>
          <w:szCs w:val="20"/>
          <w:lang w:val="sr-Cyrl-BA" w:eastAsia="en-US"/>
        </w:rPr>
      </w:pPr>
      <w:r w:rsidRPr="00C120D5">
        <w:rPr>
          <w:rFonts w:asciiTheme="minorHAnsi" w:eastAsiaTheme="minorHAnsi" w:hAnsiTheme="minorHAnsi"/>
          <w:color w:val="000000" w:themeColor="text1"/>
          <w:sz w:val="20"/>
          <w:szCs w:val="20"/>
          <w:lang w:val="sr-Cyrl-BA" w:eastAsia="en-US"/>
        </w:rPr>
        <w:t>Гаранције</w:t>
      </w:r>
      <w:r w:rsidR="009065AC" w:rsidRPr="00C120D5">
        <w:rPr>
          <w:rFonts w:asciiTheme="minorHAnsi" w:eastAsiaTheme="minorHAnsi" w:hAnsiTheme="minorHAnsi"/>
          <w:color w:val="000000" w:themeColor="text1"/>
          <w:sz w:val="20"/>
          <w:szCs w:val="20"/>
          <w:lang w:val="sr-Cyrl-BA" w:eastAsia="en-US"/>
        </w:rPr>
        <w:t xml:space="preserve"> издане</w:t>
      </w:r>
      <w:r w:rsidR="008C27E1" w:rsidRPr="00C120D5">
        <w:rPr>
          <w:rFonts w:asciiTheme="minorHAnsi" w:eastAsiaTheme="minorHAnsi" w:hAnsiTheme="minorHAnsi"/>
          <w:color w:val="000000" w:themeColor="text1"/>
          <w:sz w:val="20"/>
          <w:szCs w:val="20"/>
          <w:lang w:val="sr-Cyrl-BA" w:eastAsia="en-US"/>
        </w:rPr>
        <w:t xml:space="preserve"> у корист горе наведена три финансијска п</w:t>
      </w:r>
      <w:r w:rsidRPr="00C120D5">
        <w:rPr>
          <w:rFonts w:asciiTheme="minorHAnsi" w:eastAsiaTheme="minorHAnsi" w:hAnsiTheme="minorHAnsi"/>
          <w:color w:val="000000" w:themeColor="text1"/>
          <w:sz w:val="20"/>
          <w:szCs w:val="20"/>
          <w:lang w:val="sr-Cyrl-BA" w:eastAsia="en-US"/>
        </w:rPr>
        <w:t>осредника чине</w:t>
      </w:r>
      <w:r w:rsidR="008C27E1" w:rsidRPr="00C120D5">
        <w:rPr>
          <w:rFonts w:asciiTheme="minorHAnsi" w:eastAsiaTheme="minorHAnsi" w:hAnsiTheme="minorHAnsi"/>
          <w:color w:val="000000" w:themeColor="text1"/>
          <w:sz w:val="20"/>
          <w:szCs w:val="20"/>
          <w:lang w:val="sr-Cyrl-BA" w:eastAsia="en-US"/>
        </w:rPr>
        <w:t xml:space="preserve"> више од три четвртине активног портф</w:t>
      </w:r>
      <w:r w:rsidR="00C120D5" w:rsidRPr="00C120D5">
        <w:rPr>
          <w:rFonts w:asciiTheme="minorHAnsi" w:eastAsiaTheme="minorHAnsi" w:hAnsiTheme="minorHAnsi"/>
          <w:color w:val="000000" w:themeColor="text1"/>
          <w:sz w:val="20"/>
          <w:szCs w:val="20"/>
          <w:lang w:val="sr-Cyrl-BA" w:eastAsia="en-US"/>
        </w:rPr>
        <w:t>ељ</w:t>
      </w:r>
      <w:r w:rsidR="008C27E1" w:rsidRPr="00C120D5">
        <w:rPr>
          <w:rFonts w:asciiTheme="minorHAnsi" w:eastAsiaTheme="minorHAnsi" w:hAnsiTheme="minorHAnsi"/>
          <w:color w:val="000000" w:themeColor="text1"/>
          <w:sz w:val="20"/>
          <w:szCs w:val="20"/>
          <w:lang w:val="sr-Cyrl-BA" w:eastAsia="en-US"/>
        </w:rPr>
        <w:t>а појединачних гаранција (</w:t>
      </w:r>
      <w:r w:rsidR="00C120D5" w:rsidRPr="00C120D5">
        <w:rPr>
          <w:rFonts w:asciiTheme="minorHAnsi" w:eastAsiaTheme="minorHAnsi" w:hAnsiTheme="minorHAnsi"/>
          <w:color w:val="000000" w:themeColor="text1"/>
          <w:sz w:val="20"/>
          <w:szCs w:val="20"/>
          <w:lang w:val="sr-Cyrl-BA" w:eastAsia="en-US"/>
        </w:rPr>
        <w:t>82,24</w:t>
      </w:r>
      <w:r w:rsidR="008C27E1" w:rsidRPr="00C120D5">
        <w:rPr>
          <w:rFonts w:asciiTheme="minorHAnsi" w:eastAsiaTheme="minorHAnsi" w:hAnsiTheme="minorHAnsi"/>
          <w:color w:val="000000" w:themeColor="text1"/>
          <w:sz w:val="20"/>
          <w:szCs w:val="20"/>
          <w:lang w:val="sr-Cyrl-BA" w:eastAsia="en-US"/>
        </w:rPr>
        <w:t xml:space="preserve">%). Значајније учешће има и </w:t>
      </w:r>
      <w:r w:rsidR="00C120D5" w:rsidRPr="00C120D5">
        <w:rPr>
          <w:rFonts w:asciiTheme="minorHAnsi" w:hAnsiTheme="minorHAnsi"/>
          <w:color w:val="000000" w:themeColor="text1"/>
          <w:sz w:val="20"/>
          <w:szCs w:val="20"/>
          <w:lang w:val="sr-Latn-RS"/>
        </w:rPr>
        <w:t>Фонд за развој и запошљавање РС а.д. Бања Лука</w:t>
      </w:r>
      <w:r w:rsidR="00C120D5" w:rsidRPr="00C120D5">
        <w:rPr>
          <w:rFonts w:asciiTheme="minorHAnsi" w:eastAsiaTheme="minorHAnsi" w:hAnsiTheme="minorHAnsi"/>
          <w:color w:val="000000" w:themeColor="text1"/>
          <w:sz w:val="20"/>
          <w:szCs w:val="20"/>
          <w:lang w:val="sr-Cyrl-BA" w:eastAsia="en-US"/>
        </w:rPr>
        <w:t xml:space="preserve"> </w:t>
      </w:r>
      <w:r w:rsidR="00335B1E" w:rsidRPr="00C120D5">
        <w:rPr>
          <w:rFonts w:asciiTheme="minorHAnsi" w:eastAsiaTheme="minorHAnsi" w:hAnsiTheme="minorHAnsi"/>
          <w:color w:val="000000" w:themeColor="text1"/>
          <w:sz w:val="20"/>
          <w:szCs w:val="20"/>
          <w:lang w:val="sr-Cyrl-BA" w:eastAsia="en-US"/>
        </w:rPr>
        <w:t>(</w:t>
      </w:r>
      <w:r w:rsidR="00C120D5" w:rsidRPr="00C120D5">
        <w:rPr>
          <w:rFonts w:asciiTheme="minorHAnsi" w:eastAsiaTheme="minorHAnsi" w:hAnsiTheme="minorHAnsi"/>
          <w:color w:val="000000" w:themeColor="text1"/>
          <w:sz w:val="20"/>
          <w:szCs w:val="20"/>
          <w:lang w:val="sr-Cyrl-BA" w:eastAsia="en-US"/>
        </w:rPr>
        <w:t>5,63</w:t>
      </w:r>
      <w:r w:rsidR="00335B1E" w:rsidRPr="00C120D5">
        <w:rPr>
          <w:rFonts w:asciiTheme="minorHAnsi" w:eastAsiaTheme="minorHAnsi" w:hAnsiTheme="minorHAnsi"/>
          <w:color w:val="000000" w:themeColor="text1"/>
          <w:sz w:val="20"/>
          <w:szCs w:val="20"/>
          <w:lang w:val="sr-Cyrl-BA" w:eastAsia="en-US"/>
        </w:rPr>
        <w:t>%)</w:t>
      </w:r>
      <w:r w:rsidR="008C27E1" w:rsidRPr="00C120D5">
        <w:rPr>
          <w:rFonts w:asciiTheme="minorHAnsi" w:eastAsiaTheme="minorHAnsi" w:hAnsiTheme="minorHAnsi"/>
          <w:color w:val="000000" w:themeColor="text1"/>
          <w:sz w:val="20"/>
          <w:szCs w:val="20"/>
          <w:lang w:val="sr-Cyrl-BA" w:eastAsia="en-US"/>
        </w:rPr>
        <w:t xml:space="preserve">, док осталих </w:t>
      </w:r>
      <w:r w:rsidR="00C120D5" w:rsidRPr="00C120D5">
        <w:rPr>
          <w:rFonts w:asciiTheme="minorHAnsi" w:eastAsiaTheme="minorHAnsi" w:hAnsiTheme="minorHAnsi"/>
          <w:color w:val="000000" w:themeColor="text1"/>
          <w:sz w:val="20"/>
          <w:szCs w:val="20"/>
          <w:lang w:val="sr-Cyrl-BA" w:eastAsia="en-US"/>
        </w:rPr>
        <w:t>6</w:t>
      </w:r>
      <w:r w:rsidR="00335B1E" w:rsidRPr="00C120D5">
        <w:rPr>
          <w:rFonts w:asciiTheme="minorHAnsi" w:eastAsiaTheme="minorHAnsi" w:hAnsiTheme="minorHAnsi"/>
          <w:color w:val="000000" w:themeColor="text1"/>
          <w:sz w:val="20"/>
          <w:szCs w:val="20"/>
          <w:lang w:val="sr-Cyrl-BA" w:eastAsia="en-US"/>
        </w:rPr>
        <w:t xml:space="preserve"> банка има врло ниско учешће које се креће у распону од 0,</w:t>
      </w:r>
      <w:r w:rsidR="00C120D5" w:rsidRPr="00C120D5">
        <w:rPr>
          <w:rFonts w:asciiTheme="minorHAnsi" w:eastAsiaTheme="minorHAnsi" w:hAnsiTheme="minorHAnsi"/>
          <w:color w:val="000000" w:themeColor="text1"/>
          <w:sz w:val="20"/>
          <w:szCs w:val="20"/>
          <w:lang w:val="sr-Cyrl-BA" w:eastAsia="en-US"/>
        </w:rPr>
        <w:t>36</w:t>
      </w:r>
      <w:r w:rsidR="00335B1E" w:rsidRPr="00C120D5">
        <w:rPr>
          <w:rFonts w:asciiTheme="minorHAnsi" w:eastAsiaTheme="minorHAnsi" w:hAnsiTheme="minorHAnsi"/>
          <w:color w:val="000000" w:themeColor="text1"/>
          <w:sz w:val="20"/>
          <w:szCs w:val="20"/>
          <w:lang w:val="sr-Cyrl-BA" w:eastAsia="en-US"/>
        </w:rPr>
        <w:t xml:space="preserve">% до </w:t>
      </w:r>
      <w:r w:rsidR="00C120D5" w:rsidRPr="00C120D5">
        <w:rPr>
          <w:rFonts w:asciiTheme="minorHAnsi" w:eastAsiaTheme="minorHAnsi" w:hAnsiTheme="minorHAnsi"/>
          <w:color w:val="000000" w:themeColor="text1"/>
          <w:sz w:val="20"/>
          <w:szCs w:val="20"/>
          <w:lang w:val="sr-Cyrl-BA" w:eastAsia="en-US"/>
        </w:rPr>
        <w:t>4,47</w:t>
      </w:r>
      <w:r w:rsidR="00335B1E" w:rsidRPr="00C120D5">
        <w:rPr>
          <w:rFonts w:asciiTheme="minorHAnsi" w:eastAsiaTheme="minorHAnsi" w:hAnsiTheme="minorHAnsi"/>
          <w:color w:val="000000" w:themeColor="text1"/>
          <w:sz w:val="20"/>
          <w:szCs w:val="20"/>
          <w:lang w:val="sr-Cyrl-BA" w:eastAsia="en-US"/>
        </w:rPr>
        <w:t xml:space="preserve">% по банци, како је и приказано у табели </w:t>
      </w:r>
      <w:r w:rsidR="00BA0C56">
        <w:rPr>
          <w:rFonts w:asciiTheme="minorHAnsi" w:eastAsiaTheme="minorHAnsi" w:hAnsiTheme="minorHAnsi"/>
          <w:color w:val="000000" w:themeColor="text1"/>
          <w:sz w:val="20"/>
          <w:szCs w:val="20"/>
          <w:lang w:val="sr-Cyrl-BA" w:eastAsia="en-US"/>
        </w:rPr>
        <w:t>4</w:t>
      </w:r>
      <w:r w:rsidR="00335B1E" w:rsidRPr="00C120D5">
        <w:rPr>
          <w:rFonts w:asciiTheme="minorHAnsi" w:eastAsiaTheme="minorHAnsi" w:hAnsiTheme="minorHAnsi"/>
          <w:color w:val="000000" w:themeColor="text1"/>
          <w:sz w:val="20"/>
          <w:szCs w:val="20"/>
          <w:lang w:val="sr-Cyrl-BA" w:eastAsia="en-US"/>
        </w:rPr>
        <w:t>.</w:t>
      </w:r>
    </w:p>
    <w:p w:rsidR="00C120D5" w:rsidRPr="00594C6E" w:rsidRDefault="00C120D5" w:rsidP="00D44C0D">
      <w:pPr>
        <w:autoSpaceDE w:val="0"/>
        <w:autoSpaceDN w:val="0"/>
        <w:adjustRightInd w:val="0"/>
        <w:rPr>
          <w:rFonts w:asciiTheme="minorHAnsi" w:eastAsiaTheme="minorHAnsi" w:hAnsiTheme="minorHAnsi"/>
          <w:color w:val="000000" w:themeColor="text1"/>
          <w:sz w:val="20"/>
          <w:szCs w:val="20"/>
          <w:lang w:val="sr-Cyrl-BA" w:eastAsia="en-US"/>
        </w:rPr>
      </w:pPr>
    </w:p>
    <w:p w:rsidR="00226538" w:rsidRPr="00412718" w:rsidRDefault="008E0518" w:rsidP="00412718">
      <w:pPr>
        <w:pStyle w:val="Default"/>
        <w:jc w:val="both"/>
        <w:rPr>
          <w:rFonts w:asciiTheme="minorHAnsi" w:hAnsiTheme="minorHAnsi" w:cs="Times New Roman"/>
          <w:color w:val="000000" w:themeColor="text1"/>
          <w:sz w:val="20"/>
          <w:szCs w:val="20"/>
          <w:lang w:val="sr-Cyrl-RS"/>
        </w:rPr>
      </w:pPr>
      <w:r w:rsidRPr="00594C6E">
        <w:rPr>
          <w:rFonts w:asciiTheme="minorHAnsi" w:hAnsiTheme="minorHAnsi" w:cs="Times New Roman"/>
          <w:color w:val="000000" w:themeColor="text1"/>
          <w:sz w:val="20"/>
          <w:szCs w:val="20"/>
          <w:lang w:val="sr-Cyrl-RS"/>
        </w:rPr>
        <w:t xml:space="preserve">Последња колона табеле </w:t>
      </w:r>
      <w:r w:rsidR="00BA0C56">
        <w:rPr>
          <w:rFonts w:asciiTheme="minorHAnsi" w:hAnsiTheme="minorHAnsi" w:cs="Times New Roman"/>
          <w:color w:val="000000" w:themeColor="text1"/>
          <w:sz w:val="20"/>
          <w:szCs w:val="20"/>
          <w:lang w:val="sr-Cyrl-RS"/>
        </w:rPr>
        <w:t>4</w:t>
      </w:r>
      <w:r w:rsidRPr="00594C6E">
        <w:rPr>
          <w:rFonts w:asciiTheme="minorHAnsi" w:hAnsiTheme="minorHAnsi" w:cs="Times New Roman"/>
          <w:color w:val="000000" w:themeColor="text1"/>
          <w:sz w:val="20"/>
          <w:szCs w:val="20"/>
          <w:lang w:val="sr-Cyrl-RS"/>
        </w:rPr>
        <w:t xml:space="preserve"> приказује </w:t>
      </w:r>
      <w:r w:rsidR="00594C6E" w:rsidRPr="00594C6E">
        <w:rPr>
          <w:rFonts w:asciiTheme="minorHAnsi" w:hAnsiTheme="minorHAnsi" w:cs="Times New Roman"/>
          <w:color w:val="000000" w:themeColor="text1"/>
          <w:sz w:val="20"/>
          <w:szCs w:val="20"/>
          <w:lang w:val="sr-Cyrl-RS"/>
        </w:rPr>
        <w:t xml:space="preserve">стопу </w:t>
      </w:r>
      <w:r w:rsidRPr="00594C6E">
        <w:rPr>
          <w:rFonts w:asciiTheme="minorHAnsi" w:hAnsiTheme="minorHAnsi" w:cs="Times New Roman"/>
          <w:color w:val="000000" w:themeColor="text1"/>
          <w:sz w:val="20"/>
          <w:szCs w:val="20"/>
          <w:lang w:val="sr-Cyrl-RS"/>
        </w:rPr>
        <w:t>изложеност</w:t>
      </w:r>
      <w:r w:rsidR="00594C6E" w:rsidRPr="00594C6E">
        <w:rPr>
          <w:rFonts w:asciiTheme="minorHAnsi" w:hAnsiTheme="minorHAnsi" w:cs="Times New Roman"/>
          <w:color w:val="000000" w:themeColor="text1"/>
          <w:sz w:val="20"/>
          <w:szCs w:val="20"/>
          <w:lang w:val="sr-Cyrl-RS"/>
        </w:rPr>
        <w:t>и</w:t>
      </w:r>
      <w:r w:rsidRPr="00594C6E">
        <w:rPr>
          <w:rFonts w:asciiTheme="minorHAnsi" w:hAnsiTheme="minorHAnsi" w:cs="Times New Roman"/>
          <w:color w:val="000000" w:themeColor="text1"/>
          <w:sz w:val="20"/>
          <w:szCs w:val="20"/>
          <w:lang w:val="sr-Cyrl-RS"/>
        </w:rPr>
        <w:t xml:space="preserve"> према сваком финансијском посреднику по основу појединачних гаранција</w:t>
      </w:r>
      <w:r w:rsidR="00594C6E" w:rsidRPr="00594C6E">
        <w:rPr>
          <w:rFonts w:asciiTheme="minorHAnsi" w:hAnsiTheme="minorHAnsi" w:cs="Times New Roman"/>
          <w:color w:val="000000" w:themeColor="text1"/>
          <w:sz w:val="20"/>
          <w:szCs w:val="20"/>
          <w:lang w:val="sr-Cyrl-RS"/>
        </w:rPr>
        <w:t>, приказану односном тренутне изложености и максимално дозвољене изложености</w:t>
      </w:r>
      <w:r w:rsidR="00761F19">
        <w:rPr>
          <w:rFonts w:asciiTheme="minorHAnsi" w:hAnsiTheme="minorHAnsi" w:cs="Times New Roman"/>
          <w:color w:val="000000" w:themeColor="text1"/>
          <w:sz w:val="20"/>
          <w:szCs w:val="20"/>
          <w:lang w:val="sr-Cyrl-RS"/>
        </w:rPr>
        <w:t>. Члан 14, став 3 Закона о Гар</w:t>
      </w:r>
      <w:r w:rsidRPr="00594C6E">
        <w:rPr>
          <w:rFonts w:asciiTheme="minorHAnsi" w:hAnsiTheme="minorHAnsi" w:cs="Times New Roman"/>
          <w:color w:val="000000" w:themeColor="text1"/>
          <w:sz w:val="20"/>
          <w:szCs w:val="20"/>
          <w:lang w:val="sr-Cyrl-RS"/>
        </w:rPr>
        <w:t>ант</w:t>
      </w:r>
      <w:r w:rsidR="00761F19">
        <w:rPr>
          <w:rFonts w:asciiTheme="minorHAnsi" w:hAnsiTheme="minorHAnsi" w:cs="Times New Roman"/>
          <w:color w:val="000000" w:themeColor="text1"/>
          <w:sz w:val="20"/>
          <w:szCs w:val="20"/>
          <w:lang w:val="sr-Cyrl-RS"/>
        </w:rPr>
        <w:t>н</w:t>
      </w:r>
      <w:r w:rsidRPr="00594C6E">
        <w:rPr>
          <w:rFonts w:asciiTheme="minorHAnsi" w:hAnsiTheme="minorHAnsi" w:cs="Times New Roman"/>
          <w:color w:val="000000" w:themeColor="text1"/>
          <w:sz w:val="20"/>
          <w:szCs w:val="20"/>
          <w:lang w:val="sr-Cyrl-RS"/>
        </w:rPr>
        <w:t xml:space="preserve">ом фонду прописује да укупан износ гарантованих обавеза према финансијском посреднику не може бити већи од 30% гарантног потенцијала Фонда, односно 27.000.000,00 КМ у апсолутном износу. Тренутна изложеност по основу појединачних гаранција је највећа према МФ банци а.д. Бања Лука и износи </w:t>
      </w:r>
      <w:r w:rsidR="00594C6E" w:rsidRPr="00594C6E">
        <w:rPr>
          <w:rFonts w:asciiTheme="minorHAnsi" w:hAnsiTheme="minorHAnsi" w:cs="Times New Roman"/>
          <w:color w:val="000000" w:themeColor="text1"/>
          <w:sz w:val="20"/>
          <w:szCs w:val="20"/>
          <w:lang w:val="sr-Cyrl-RS"/>
        </w:rPr>
        <w:t>18,25</w:t>
      </w:r>
      <w:r w:rsidRPr="00594C6E">
        <w:rPr>
          <w:rFonts w:asciiTheme="minorHAnsi" w:hAnsiTheme="minorHAnsi" w:cs="Times New Roman"/>
          <w:color w:val="000000" w:themeColor="text1"/>
          <w:sz w:val="20"/>
          <w:szCs w:val="20"/>
          <w:lang w:val="sr-Cyrl-RS"/>
        </w:rPr>
        <w:t xml:space="preserve">%. Изложеност према </w:t>
      </w:r>
      <w:r w:rsidR="00932859" w:rsidRPr="00594C6E">
        <w:rPr>
          <w:rFonts w:asciiTheme="minorHAnsi" w:hAnsiTheme="minorHAnsi" w:cs="Times New Roman"/>
          <w:color w:val="000000" w:themeColor="text1"/>
          <w:sz w:val="20"/>
          <w:szCs w:val="20"/>
          <w:lang w:val="sr-Cyrl-RS"/>
        </w:rPr>
        <w:t xml:space="preserve">свим банкама је знатно испод нивоа </w:t>
      </w:r>
      <w:r w:rsidRPr="00594C6E">
        <w:rPr>
          <w:rFonts w:asciiTheme="minorHAnsi" w:hAnsiTheme="minorHAnsi" w:cs="Times New Roman"/>
          <w:color w:val="000000" w:themeColor="text1"/>
          <w:sz w:val="20"/>
          <w:szCs w:val="20"/>
          <w:lang w:val="sr-Cyrl-RS"/>
        </w:rPr>
        <w:t>максималне изложености</w:t>
      </w:r>
      <w:r w:rsidR="00932859" w:rsidRPr="00594C6E">
        <w:rPr>
          <w:rFonts w:asciiTheme="minorHAnsi" w:hAnsiTheme="minorHAnsi" w:cs="Times New Roman"/>
          <w:color w:val="000000" w:themeColor="text1"/>
          <w:sz w:val="20"/>
          <w:szCs w:val="20"/>
          <w:lang w:val="sr-Cyrl-RS"/>
        </w:rPr>
        <w:t xml:space="preserve"> коју прописује Закон</w:t>
      </w:r>
      <w:r w:rsidRPr="00594C6E">
        <w:rPr>
          <w:rFonts w:asciiTheme="minorHAnsi" w:hAnsiTheme="minorHAnsi" w:cs="Times New Roman"/>
          <w:color w:val="000000" w:themeColor="text1"/>
          <w:sz w:val="20"/>
          <w:szCs w:val="20"/>
          <w:lang w:val="sr-Cyrl-RS"/>
        </w:rPr>
        <w:t>.</w:t>
      </w:r>
      <w:bookmarkStart w:id="7" w:name="_Toc135292170"/>
    </w:p>
    <w:p w:rsidR="00C120D5" w:rsidRDefault="00C120D5" w:rsidP="00E84021">
      <w:pPr>
        <w:pStyle w:val="Heading2"/>
        <w:numPr>
          <w:ilvl w:val="0"/>
          <w:numId w:val="0"/>
        </w:numPr>
        <w:rPr>
          <w:rFonts w:asciiTheme="minorHAnsi" w:hAnsiTheme="minorHAnsi"/>
          <w:b/>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BA0C56" w:rsidRDefault="00BA0C56" w:rsidP="00E84021">
      <w:pPr>
        <w:pStyle w:val="Heading2"/>
        <w:numPr>
          <w:ilvl w:val="0"/>
          <w:numId w:val="0"/>
        </w:numPr>
        <w:rPr>
          <w:rFonts w:asciiTheme="minorHAnsi" w:hAnsiTheme="minorHAnsi"/>
          <w:color w:val="000000" w:themeColor="text1"/>
          <w:szCs w:val="20"/>
          <w:lang w:val="sr-Cyrl-RS"/>
        </w:rPr>
      </w:pPr>
    </w:p>
    <w:p w:rsidR="001538EF" w:rsidRPr="00D01BB3" w:rsidRDefault="00E84021" w:rsidP="00E84021">
      <w:pPr>
        <w:pStyle w:val="Heading2"/>
        <w:numPr>
          <w:ilvl w:val="0"/>
          <w:numId w:val="0"/>
        </w:numPr>
        <w:rPr>
          <w:rFonts w:asciiTheme="minorHAnsi" w:hAnsiTheme="minorHAnsi"/>
          <w:color w:val="000000" w:themeColor="text1"/>
          <w:szCs w:val="20"/>
        </w:rPr>
      </w:pPr>
      <w:r w:rsidRPr="00D01BB3">
        <w:rPr>
          <w:rFonts w:asciiTheme="minorHAnsi" w:hAnsiTheme="minorHAnsi"/>
          <w:color w:val="000000" w:themeColor="text1"/>
          <w:szCs w:val="20"/>
          <w:lang w:val="sr-Cyrl-RS"/>
        </w:rPr>
        <w:t xml:space="preserve">2.2 </w:t>
      </w:r>
      <w:r w:rsidR="001538EF" w:rsidRPr="00D01BB3">
        <w:rPr>
          <w:rFonts w:asciiTheme="minorHAnsi" w:hAnsiTheme="minorHAnsi"/>
          <w:color w:val="000000" w:themeColor="text1"/>
          <w:szCs w:val="20"/>
        </w:rPr>
        <w:t xml:space="preserve">АНАЛИЗА ИЗДАНИХ ГАРАНЦИЈА </w:t>
      </w:r>
      <w:r w:rsidR="003B2F4F" w:rsidRPr="00D01BB3">
        <w:rPr>
          <w:rFonts w:asciiTheme="minorHAnsi" w:hAnsiTheme="minorHAnsi"/>
          <w:color w:val="000000" w:themeColor="text1"/>
          <w:szCs w:val="20"/>
          <w:lang w:val="sr-Cyrl-RS"/>
        </w:rPr>
        <w:t>У ОКВИРУ</w:t>
      </w:r>
      <w:r w:rsidR="001538EF" w:rsidRPr="00D01BB3">
        <w:rPr>
          <w:rFonts w:asciiTheme="minorHAnsi" w:hAnsiTheme="minorHAnsi"/>
          <w:color w:val="000000" w:themeColor="text1"/>
          <w:szCs w:val="20"/>
        </w:rPr>
        <w:t xml:space="preserve"> КРЕДИТ</w:t>
      </w:r>
      <w:r w:rsidR="003B2F4F" w:rsidRPr="00D01BB3">
        <w:rPr>
          <w:rFonts w:asciiTheme="minorHAnsi" w:hAnsiTheme="minorHAnsi"/>
          <w:color w:val="000000" w:themeColor="text1"/>
          <w:szCs w:val="20"/>
          <w:lang w:val="sr-Cyrl-RS"/>
        </w:rPr>
        <w:t>НОГ</w:t>
      </w:r>
      <w:r w:rsidR="001538EF" w:rsidRPr="00D01BB3">
        <w:rPr>
          <w:rFonts w:asciiTheme="minorHAnsi" w:hAnsiTheme="minorHAnsi"/>
          <w:color w:val="000000" w:themeColor="text1"/>
          <w:szCs w:val="20"/>
        </w:rPr>
        <w:t xml:space="preserve"> ПОРТФ</w:t>
      </w:r>
      <w:r w:rsidR="00C43C3A" w:rsidRPr="00D01BB3">
        <w:rPr>
          <w:rFonts w:asciiTheme="minorHAnsi" w:hAnsiTheme="minorHAnsi"/>
          <w:color w:val="000000" w:themeColor="text1"/>
          <w:szCs w:val="20"/>
          <w:lang w:val="sr-Cyrl-RS"/>
        </w:rPr>
        <w:t>ЕЉА</w:t>
      </w:r>
      <w:r w:rsidR="001538EF" w:rsidRPr="00D01BB3">
        <w:rPr>
          <w:rFonts w:asciiTheme="minorHAnsi" w:hAnsiTheme="minorHAnsi"/>
          <w:color w:val="000000" w:themeColor="text1"/>
          <w:szCs w:val="20"/>
        </w:rPr>
        <w:t xml:space="preserve"> </w:t>
      </w:r>
      <w:bookmarkEnd w:id="7"/>
    </w:p>
    <w:p w:rsidR="00036827" w:rsidRPr="00036827" w:rsidRDefault="00036827" w:rsidP="00036827">
      <w:pPr>
        <w:pStyle w:val="Heading2"/>
        <w:numPr>
          <w:ilvl w:val="0"/>
          <w:numId w:val="0"/>
        </w:numPr>
        <w:ind w:left="576"/>
        <w:rPr>
          <w:rFonts w:asciiTheme="minorHAnsi" w:hAnsiTheme="minorHAnsi"/>
          <w:b/>
          <w:szCs w:val="20"/>
        </w:rPr>
      </w:pPr>
    </w:p>
    <w:p w:rsidR="00A13C00" w:rsidRDefault="003B2F4F"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О</w:t>
      </w:r>
      <w:r w:rsidR="001538EF" w:rsidRPr="005767EF">
        <w:rPr>
          <w:rFonts w:asciiTheme="minorHAnsi" w:hAnsiTheme="minorHAnsi" w:cs="Times New Roman"/>
          <w:color w:val="auto"/>
          <w:sz w:val="20"/>
          <w:szCs w:val="20"/>
          <w:lang w:val="sr-Cyrl-BA"/>
        </w:rPr>
        <w:t>дредбама члана 2 Закона о измјенама и допунама Закона о Га</w:t>
      </w:r>
      <w:r>
        <w:rPr>
          <w:rFonts w:asciiTheme="minorHAnsi" w:hAnsiTheme="minorHAnsi" w:cs="Times New Roman"/>
          <w:color w:val="auto"/>
          <w:sz w:val="20"/>
          <w:szCs w:val="20"/>
          <w:lang w:val="sr-Cyrl-BA"/>
        </w:rPr>
        <w:t>рантном фонду Републике Српске (</w:t>
      </w:r>
      <w:r w:rsidR="001538EF" w:rsidRPr="005767EF">
        <w:rPr>
          <w:rFonts w:asciiTheme="minorHAnsi" w:hAnsiTheme="minorHAnsi" w:cs="Times New Roman"/>
          <w:color w:val="auto"/>
          <w:sz w:val="20"/>
          <w:szCs w:val="20"/>
          <w:lang w:val="sr-Cyrl-BA"/>
        </w:rPr>
        <w:t>„Службени гласник Републике Српске</w:t>
      </w:r>
      <w:r>
        <w:rPr>
          <w:rFonts w:asciiTheme="minorHAnsi" w:hAnsiTheme="minorHAnsi" w:cs="Times New Roman"/>
          <w:color w:val="auto"/>
          <w:sz w:val="20"/>
          <w:szCs w:val="20"/>
          <w:lang w:val="sr-Cyrl-BA"/>
        </w:rPr>
        <w:t>“ број 107/19</w:t>
      </w:r>
      <w:r w:rsidR="001538EF" w:rsidRPr="005767EF">
        <w:rPr>
          <w:rFonts w:asciiTheme="minorHAnsi" w:hAnsiTheme="minorHAnsi" w:cs="Times New Roman"/>
          <w:color w:val="auto"/>
          <w:sz w:val="20"/>
          <w:szCs w:val="20"/>
          <w:lang w:val="sr-Cyrl-BA"/>
        </w:rPr>
        <w:t xml:space="preserve">)  </w:t>
      </w:r>
      <w:r w:rsidR="001538EF" w:rsidRPr="005767EF">
        <w:rPr>
          <w:rFonts w:asciiTheme="minorHAnsi" w:hAnsiTheme="minorHAnsi" w:cs="Times New Roman"/>
          <w:color w:val="000000" w:themeColor="text1"/>
          <w:sz w:val="20"/>
          <w:szCs w:val="20"/>
          <w:lang w:val="sr-Cyrl-BA"/>
        </w:rPr>
        <w:t>и члана 2</w:t>
      </w:r>
      <w:r w:rsidR="00C81AA1">
        <w:rPr>
          <w:rFonts w:asciiTheme="minorHAnsi" w:hAnsiTheme="minorHAnsi" w:cs="Times New Roman"/>
          <w:color w:val="000000" w:themeColor="text1"/>
          <w:sz w:val="20"/>
          <w:szCs w:val="20"/>
          <w:lang w:val="sr-Cyrl-BA"/>
        </w:rPr>
        <w:t>,</w:t>
      </w:r>
      <w:r w:rsidR="001538EF" w:rsidRPr="005767EF">
        <w:rPr>
          <w:rFonts w:asciiTheme="minorHAnsi" w:hAnsiTheme="minorHAnsi" w:cs="Times New Roman"/>
          <w:color w:val="000000" w:themeColor="text1"/>
          <w:sz w:val="20"/>
          <w:szCs w:val="20"/>
          <w:lang w:val="sr-Cyrl-BA"/>
        </w:rPr>
        <w:t xml:space="preserve"> став 3 Правилника о одобравању гаранција (</w:t>
      </w:r>
      <w:r w:rsidR="001538EF" w:rsidRPr="005767EF">
        <w:rPr>
          <w:rFonts w:asciiTheme="minorHAnsi" w:hAnsiTheme="minorHAnsi" w:cs="Times New Roman"/>
          <w:noProof/>
          <w:sz w:val="20"/>
          <w:szCs w:val="20"/>
          <w:lang w:val="sr-Cyrl-RS"/>
        </w:rPr>
        <w:t>„Службени гласник Републике Српске“, број 14</w:t>
      </w:r>
      <w:r w:rsidR="001538EF" w:rsidRPr="005767EF">
        <w:rPr>
          <w:rFonts w:asciiTheme="minorHAnsi" w:hAnsiTheme="minorHAnsi" w:cs="Times New Roman"/>
          <w:noProof/>
          <w:sz w:val="20"/>
          <w:szCs w:val="20"/>
        </w:rPr>
        <w:t>/</w:t>
      </w:r>
      <w:r w:rsidR="001538EF" w:rsidRPr="005767EF">
        <w:rPr>
          <w:rFonts w:asciiTheme="minorHAnsi" w:hAnsiTheme="minorHAnsi" w:cs="Times New Roman"/>
          <w:noProof/>
          <w:sz w:val="20"/>
          <w:szCs w:val="20"/>
          <w:lang w:val="sr-Cyrl-BA"/>
        </w:rPr>
        <w:t>21</w:t>
      </w:r>
      <w:r>
        <w:rPr>
          <w:rFonts w:asciiTheme="minorHAnsi" w:hAnsiTheme="minorHAnsi" w:cs="Times New Roman"/>
          <w:noProof/>
          <w:sz w:val="20"/>
          <w:szCs w:val="20"/>
          <w:lang w:val="sr-Cyrl-RS"/>
        </w:rPr>
        <w:t xml:space="preserve">) </w:t>
      </w:r>
      <w:r w:rsidR="001538EF" w:rsidRPr="005767EF">
        <w:rPr>
          <w:rFonts w:asciiTheme="minorHAnsi" w:hAnsiTheme="minorHAnsi" w:cs="Times New Roman"/>
          <w:noProof/>
          <w:sz w:val="20"/>
          <w:szCs w:val="20"/>
          <w:lang w:val="sr-Cyrl-RS"/>
        </w:rPr>
        <w:t xml:space="preserve">је </w:t>
      </w:r>
      <w:r w:rsidR="001538EF" w:rsidRPr="005767EF">
        <w:rPr>
          <w:rFonts w:asciiTheme="minorHAnsi" w:hAnsiTheme="minorHAnsi" w:cs="Times New Roman"/>
          <w:color w:val="auto"/>
          <w:sz w:val="20"/>
          <w:szCs w:val="20"/>
          <w:lang w:val="sr-Cyrl-BA"/>
        </w:rPr>
        <w:t>дефинисано  да Гарантни фонд</w:t>
      </w:r>
      <w:r w:rsidR="001538EF" w:rsidRPr="005767EF">
        <w:rPr>
          <w:rFonts w:asciiTheme="minorHAnsi" w:hAnsiTheme="minorHAnsi" w:cs="Times New Roman"/>
          <w:color w:val="auto"/>
          <w:sz w:val="20"/>
          <w:szCs w:val="20"/>
        </w:rPr>
        <w:t xml:space="preserve"> може, поред гарантовања конкретне финансијске обавезе п</w:t>
      </w:r>
      <w:r w:rsidR="001538EF" w:rsidRPr="005767EF">
        <w:rPr>
          <w:rFonts w:asciiTheme="minorHAnsi" w:hAnsiTheme="minorHAnsi" w:cs="Times New Roman"/>
          <w:color w:val="auto"/>
          <w:sz w:val="20"/>
          <w:szCs w:val="20"/>
          <w:lang w:val="sr-Cyrl-BA"/>
        </w:rPr>
        <w:t>ре</w:t>
      </w:r>
      <w:r w:rsidR="001538EF" w:rsidRPr="005767EF">
        <w:rPr>
          <w:rFonts w:asciiTheme="minorHAnsi" w:hAnsiTheme="minorHAnsi" w:cs="Times New Roman"/>
          <w:color w:val="auto"/>
          <w:sz w:val="20"/>
          <w:szCs w:val="20"/>
        </w:rPr>
        <w:t>дузетника, издавати гаранције за обезбјеђење дијела обавеза из портфеља кредита, уговорених између предузетника и банке или друге финансијске организације</w:t>
      </w:r>
      <w:r w:rsidR="001538EF" w:rsidRPr="005767EF">
        <w:rPr>
          <w:rFonts w:asciiTheme="minorHAnsi" w:hAnsiTheme="minorHAnsi" w:cs="Times New Roman"/>
          <w:color w:val="auto"/>
          <w:sz w:val="20"/>
          <w:szCs w:val="20"/>
          <w:lang w:val="sr-Cyrl-BA"/>
        </w:rPr>
        <w:t xml:space="preserve"> уз</w:t>
      </w:r>
      <w:r w:rsidR="00C81AA1">
        <w:rPr>
          <w:rFonts w:asciiTheme="minorHAnsi" w:hAnsiTheme="minorHAnsi" w:cs="Times New Roman"/>
          <w:color w:val="auto"/>
          <w:sz w:val="20"/>
          <w:szCs w:val="20"/>
          <w:lang w:val="sr-Cyrl-BA"/>
        </w:rPr>
        <w:t xml:space="preserve"> гарантовање</w:t>
      </w:r>
      <w:r w:rsidR="00C779CA">
        <w:rPr>
          <w:rFonts w:asciiTheme="minorHAnsi" w:hAnsiTheme="minorHAnsi" w:cs="Times New Roman"/>
          <w:color w:val="auto"/>
          <w:sz w:val="20"/>
          <w:szCs w:val="20"/>
          <w:lang w:val="sr-Cyrl-BA"/>
        </w:rPr>
        <w:t xml:space="preserve"> кредитног ризика </w:t>
      </w:r>
      <w:r w:rsidR="00C83A25">
        <w:rPr>
          <w:rFonts w:asciiTheme="minorHAnsi" w:hAnsiTheme="minorHAnsi" w:cs="Times New Roman"/>
          <w:color w:val="auto"/>
          <w:sz w:val="20"/>
          <w:szCs w:val="20"/>
          <w:lang w:val="sr-Cyrl-BA"/>
        </w:rPr>
        <w:t>до 25</w:t>
      </w:r>
      <w:r w:rsidR="001538EF" w:rsidRPr="005767EF">
        <w:rPr>
          <w:rFonts w:asciiTheme="minorHAnsi" w:hAnsiTheme="minorHAnsi" w:cs="Times New Roman"/>
          <w:color w:val="auto"/>
          <w:sz w:val="20"/>
          <w:szCs w:val="20"/>
          <w:lang w:val="sr-Cyrl-BA"/>
        </w:rPr>
        <w:t>% изложености ризику на нивоу портфеља</w:t>
      </w:r>
      <w:r>
        <w:rPr>
          <w:rFonts w:asciiTheme="minorHAnsi" w:hAnsiTheme="minorHAnsi" w:cs="Times New Roman"/>
          <w:color w:val="auto"/>
          <w:sz w:val="20"/>
          <w:szCs w:val="20"/>
          <w:lang w:val="sr-Cyrl-BA"/>
        </w:rPr>
        <w:t xml:space="preserve">. </w:t>
      </w:r>
    </w:p>
    <w:p w:rsidR="00A13C00" w:rsidRDefault="00A13C00" w:rsidP="001538EF">
      <w:pPr>
        <w:pStyle w:val="Default"/>
        <w:jc w:val="both"/>
        <w:rPr>
          <w:rFonts w:asciiTheme="minorHAnsi" w:hAnsiTheme="minorHAnsi" w:cs="Times New Roman"/>
          <w:color w:val="auto"/>
          <w:sz w:val="20"/>
          <w:szCs w:val="20"/>
          <w:lang w:val="sr-Cyrl-BA"/>
        </w:rPr>
      </w:pPr>
    </w:p>
    <w:p w:rsidR="00C81AA1" w:rsidRPr="00AB1552" w:rsidRDefault="004B13E7" w:rsidP="001538EF">
      <w:pPr>
        <w:pStyle w:val="Default"/>
        <w:jc w:val="both"/>
        <w:rPr>
          <w:rFonts w:asciiTheme="minorHAnsi" w:hAnsiTheme="minorHAnsi" w:cs="Times New Roman"/>
          <w:color w:val="auto"/>
          <w:sz w:val="20"/>
          <w:szCs w:val="20"/>
          <w:lang w:val="sr-Cyrl-RS"/>
        </w:rPr>
      </w:pPr>
      <w:r w:rsidRPr="00C81AA1">
        <w:rPr>
          <w:rFonts w:asciiTheme="minorHAnsi" w:hAnsiTheme="minorHAnsi" w:cs="Times New Roman"/>
          <w:color w:val="auto"/>
          <w:sz w:val="20"/>
          <w:szCs w:val="20"/>
          <w:lang w:val="sr-Cyrl-BA"/>
        </w:rPr>
        <w:t xml:space="preserve">Гарантни фонд Републике Српске је </w:t>
      </w:r>
      <w:r w:rsidR="00C5563A" w:rsidRPr="00C81AA1">
        <w:rPr>
          <w:rFonts w:asciiTheme="minorHAnsi" w:hAnsiTheme="minorHAnsi" w:cs="Times New Roman"/>
          <w:color w:val="auto"/>
          <w:sz w:val="20"/>
          <w:szCs w:val="20"/>
          <w:lang w:val="sr-Cyrl-RS"/>
        </w:rPr>
        <w:t>до краја 202</w:t>
      </w:r>
      <w:r w:rsidR="00C81AA1" w:rsidRPr="00C81AA1">
        <w:rPr>
          <w:rFonts w:asciiTheme="minorHAnsi" w:hAnsiTheme="minorHAnsi" w:cs="Times New Roman"/>
          <w:color w:val="auto"/>
          <w:sz w:val="20"/>
          <w:szCs w:val="20"/>
          <w:lang w:val="sr-Cyrl-RS"/>
        </w:rPr>
        <w:t>4</w:t>
      </w:r>
      <w:r w:rsidR="00C5563A" w:rsidRPr="00C81AA1">
        <w:rPr>
          <w:rFonts w:asciiTheme="minorHAnsi" w:hAnsiTheme="minorHAnsi" w:cs="Times New Roman"/>
          <w:color w:val="auto"/>
          <w:sz w:val="20"/>
          <w:szCs w:val="20"/>
          <w:lang w:val="sr-Cyrl-RS"/>
        </w:rPr>
        <w:t xml:space="preserve">. године </w:t>
      </w:r>
      <w:r w:rsidRPr="00C81AA1">
        <w:rPr>
          <w:rFonts w:asciiTheme="minorHAnsi" w:hAnsiTheme="minorHAnsi" w:cs="Times New Roman"/>
          <w:color w:val="auto"/>
          <w:sz w:val="20"/>
          <w:szCs w:val="20"/>
          <w:lang w:val="sr-Cyrl-BA"/>
        </w:rPr>
        <w:t>пот</w:t>
      </w:r>
      <w:r w:rsidR="00C5563A" w:rsidRPr="00C81AA1">
        <w:rPr>
          <w:rFonts w:asciiTheme="minorHAnsi" w:hAnsiTheme="minorHAnsi" w:cs="Times New Roman"/>
          <w:color w:val="auto"/>
          <w:sz w:val="20"/>
          <w:szCs w:val="20"/>
          <w:lang w:val="sr-Cyrl-BA"/>
        </w:rPr>
        <w:t>писа</w:t>
      </w:r>
      <w:r w:rsidR="00C779CA" w:rsidRPr="00C81AA1">
        <w:rPr>
          <w:rFonts w:asciiTheme="minorHAnsi" w:hAnsiTheme="minorHAnsi" w:cs="Times New Roman"/>
          <w:color w:val="auto"/>
          <w:sz w:val="20"/>
          <w:szCs w:val="20"/>
          <w:lang w:val="sr-Cyrl-BA"/>
        </w:rPr>
        <w:t>о</w:t>
      </w:r>
      <w:r w:rsidRPr="00C81AA1">
        <w:rPr>
          <w:rFonts w:asciiTheme="minorHAnsi" w:hAnsiTheme="minorHAnsi" w:cs="Times New Roman"/>
          <w:color w:val="auto"/>
          <w:sz w:val="20"/>
          <w:szCs w:val="20"/>
          <w:lang w:val="sr-Cyrl-BA"/>
        </w:rPr>
        <w:t xml:space="preserve"> уговоре о гарантовању </w:t>
      </w:r>
      <w:r w:rsidR="001538EF" w:rsidRPr="00C81AA1">
        <w:rPr>
          <w:rFonts w:asciiTheme="minorHAnsi" w:hAnsiTheme="minorHAnsi" w:cs="Times New Roman"/>
          <w:color w:val="auto"/>
          <w:sz w:val="20"/>
          <w:szCs w:val="20"/>
          <w:lang w:val="sr-Cyrl-BA"/>
        </w:rPr>
        <w:t>кредитног портф</w:t>
      </w:r>
      <w:r w:rsidR="00C81AA1" w:rsidRPr="00C81AA1">
        <w:rPr>
          <w:rFonts w:asciiTheme="minorHAnsi" w:hAnsiTheme="minorHAnsi" w:cs="Times New Roman"/>
          <w:color w:val="auto"/>
          <w:sz w:val="20"/>
          <w:szCs w:val="20"/>
          <w:lang w:val="sr-Cyrl-BA"/>
        </w:rPr>
        <w:t>еља</w:t>
      </w:r>
      <w:r w:rsidR="001538EF" w:rsidRPr="00C81AA1">
        <w:rPr>
          <w:rFonts w:asciiTheme="minorHAnsi" w:hAnsiTheme="minorHAnsi" w:cs="Times New Roman"/>
          <w:color w:val="auto"/>
          <w:sz w:val="20"/>
          <w:szCs w:val="20"/>
          <w:lang w:val="sr-Cyrl-BA"/>
        </w:rPr>
        <w:t xml:space="preserve"> са</w:t>
      </w:r>
      <w:r w:rsidRPr="00C81AA1">
        <w:rPr>
          <w:rFonts w:asciiTheme="minorHAnsi" w:hAnsiTheme="minorHAnsi" w:cs="Times New Roman"/>
          <w:color w:val="auto"/>
          <w:sz w:val="20"/>
          <w:szCs w:val="20"/>
          <w:lang w:val="sr-Cyrl-BA"/>
        </w:rPr>
        <w:t xml:space="preserve"> </w:t>
      </w:r>
      <w:r w:rsidR="00593546">
        <w:rPr>
          <w:rFonts w:asciiTheme="minorHAnsi" w:hAnsiTheme="minorHAnsi" w:cs="Times New Roman"/>
          <w:color w:val="auto"/>
          <w:sz w:val="20"/>
          <w:szCs w:val="20"/>
          <w:lang w:val="sr-Cyrl-BA"/>
        </w:rPr>
        <w:t>6</w:t>
      </w:r>
      <w:r w:rsidR="001538EF" w:rsidRPr="00C81AA1">
        <w:rPr>
          <w:rFonts w:asciiTheme="minorHAnsi" w:hAnsiTheme="minorHAnsi" w:cs="Times New Roman"/>
          <w:color w:val="auto"/>
          <w:sz w:val="20"/>
          <w:szCs w:val="20"/>
          <w:lang w:val="sr-Cyrl-BA"/>
        </w:rPr>
        <w:t xml:space="preserve"> финансијск</w:t>
      </w:r>
      <w:r w:rsidR="00C81AA1" w:rsidRPr="00C81AA1">
        <w:rPr>
          <w:rFonts w:asciiTheme="minorHAnsi" w:hAnsiTheme="minorHAnsi" w:cs="Times New Roman"/>
          <w:color w:val="auto"/>
          <w:sz w:val="20"/>
          <w:szCs w:val="20"/>
          <w:lang w:val="sr-Cyrl-BA"/>
        </w:rPr>
        <w:t>их</w:t>
      </w:r>
      <w:r w:rsidR="001538EF" w:rsidRPr="00C81AA1">
        <w:rPr>
          <w:rFonts w:asciiTheme="minorHAnsi" w:hAnsiTheme="minorHAnsi" w:cs="Times New Roman"/>
          <w:color w:val="auto"/>
          <w:sz w:val="20"/>
          <w:szCs w:val="20"/>
          <w:lang w:val="sr-Cyrl-BA"/>
        </w:rPr>
        <w:t xml:space="preserve"> </w:t>
      </w:r>
      <w:r w:rsidR="001538EF" w:rsidRPr="00E04851">
        <w:rPr>
          <w:rFonts w:asciiTheme="minorHAnsi" w:hAnsiTheme="minorHAnsi" w:cs="Times New Roman"/>
          <w:color w:val="auto"/>
          <w:sz w:val="20"/>
          <w:szCs w:val="20"/>
          <w:lang w:val="sr-Cyrl-BA"/>
        </w:rPr>
        <w:t>посредни</w:t>
      </w:r>
      <w:r w:rsidR="00C5563A" w:rsidRPr="00E04851">
        <w:rPr>
          <w:rFonts w:asciiTheme="minorHAnsi" w:hAnsiTheme="minorHAnsi" w:cs="Times New Roman"/>
          <w:color w:val="auto"/>
          <w:sz w:val="20"/>
          <w:szCs w:val="20"/>
          <w:lang w:val="sr-Cyrl-BA"/>
        </w:rPr>
        <w:t>ка</w:t>
      </w:r>
      <w:r w:rsidR="00593546">
        <w:rPr>
          <w:rFonts w:asciiTheme="minorHAnsi" w:hAnsiTheme="minorHAnsi" w:cs="Times New Roman"/>
          <w:color w:val="auto"/>
          <w:sz w:val="20"/>
          <w:szCs w:val="20"/>
          <w:lang w:val="sr-Cyrl-BA"/>
        </w:rPr>
        <w:t xml:space="preserve">, од чега пет банака, </w:t>
      </w:r>
      <w:r w:rsidR="00E04851">
        <w:rPr>
          <w:rFonts w:asciiTheme="minorHAnsi" w:hAnsiTheme="minorHAnsi" w:cs="Times New Roman"/>
          <w:color w:val="auto"/>
          <w:sz w:val="20"/>
          <w:szCs w:val="20"/>
          <w:lang w:val="sr-Cyrl-BA"/>
        </w:rPr>
        <w:t>једним микро-кредитним друштвом</w:t>
      </w:r>
      <w:r w:rsidR="00C779CA" w:rsidRPr="00E04851">
        <w:rPr>
          <w:rFonts w:asciiTheme="minorHAnsi" w:hAnsiTheme="minorHAnsi" w:cs="Times New Roman"/>
          <w:color w:val="auto"/>
          <w:sz w:val="20"/>
          <w:szCs w:val="20"/>
          <w:lang w:val="sr-Cyrl-BA"/>
        </w:rPr>
        <w:t xml:space="preserve">: </w:t>
      </w:r>
      <w:r w:rsidR="00C5563A" w:rsidRPr="00E04851">
        <w:rPr>
          <w:rFonts w:asciiTheme="minorHAnsi" w:hAnsiTheme="minorHAnsi" w:cs="Times New Roman"/>
          <w:color w:val="auto"/>
          <w:sz w:val="20"/>
          <w:szCs w:val="20"/>
          <w:lang w:val="sr-Cyrl-BA"/>
        </w:rPr>
        <w:t xml:space="preserve">PROCREDIT BANK д.д. </w:t>
      </w:r>
      <w:r w:rsidR="00C81AA1" w:rsidRPr="00E04851">
        <w:rPr>
          <w:rFonts w:asciiTheme="minorHAnsi" w:hAnsiTheme="minorHAnsi" w:cs="Times New Roman"/>
          <w:color w:val="auto"/>
          <w:sz w:val="20"/>
          <w:szCs w:val="20"/>
          <w:lang w:val="sr-Cyrl-BA"/>
        </w:rPr>
        <w:t>Босна и Херцеговина</w:t>
      </w:r>
      <w:r w:rsidR="00C5563A" w:rsidRPr="00E04851">
        <w:rPr>
          <w:rFonts w:asciiTheme="minorHAnsi" w:hAnsiTheme="minorHAnsi" w:cs="Times New Roman"/>
          <w:color w:val="auto"/>
          <w:sz w:val="20"/>
          <w:szCs w:val="20"/>
          <w:lang w:val="sr-Cyrl-BA"/>
        </w:rPr>
        <w:t xml:space="preserve">, UNICREDIT BANK а.д. </w:t>
      </w:r>
      <w:r w:rsidR="00C5563A" w:rsidRPr="00E04851">
        <w:rPr>
          <w:rFonts w:asciiTheme="minorHAnsi" w:hAnsiTheme="minorHAnsi" w:cs="Times New Roman"/>
          <w:color w:val="auto"/>
          <w:sz w:val="20"/>
          <w:szCs w:val="20"/>
          <w:lang w:val="sr-Cyrl-RS"/>
        </w:rPr>
        <w:t>Б</w:t>
      </w:r>
      <w:r w:rsidR="00C5563A" w:rsidRPr="00E04851">
        <w:rPr>
          <w:rFonts w:asciiTheme="minorHAnsi" w:hAnsiTheme="minorHAnsi" w:cs="Times New Roman"/>
          <w:color w:val="auto"/>
          <w:sz w:val="20"/>
          <w:szCs w:val="20"/>
          <w:lang w:val="sr-Cyrl-BA"/>
        </w:rPr>
        <w:t>ања Лука</w:t>
      </w:r>
      <w:r w:rsidR="00C81AA1" w:rsidRPr="00E04851">
        <w:rPr>
          <w:rFonts w:asciiTheme="minorHAnsi" w:hAnsiTheme="minorHAnsi" w:cs="Times New Roman"/>
          <w:color w:val="auto"/>
          <w:sz w:val="20"/>
          <w:szCs w:val="20"/>
          <w:lang w:val="sr-Cyrl-BA"/>
        </w:rPr>
        <w:t xml:space="preserve">, МФ БАНКА а.д. Бања Лука, Нова банка а.д. Бања Лука, </w:t>
      </w:r>
      <w:r w:rsidR="00C5563A" w:rsidRPr="00E04851">
        <w:rPr>
          <w:rFonts w:asciiTheme="minorHAnsi" w:hAnsiTheme="minorHAnsi" w:cs="Times New Roman"/>
          <w:color w:val="auto"/>
          <w:sz w:val="20"/>
          <w:szCs w:val="20"/>
        </w:rPr>
        <w:t xml:space="preserve">SPARKASSE BANK </w:t>
      </w:r>
      <w:r w:rsidR="00C5563A" w:rsidRPr="00E04851">
        <w:rPr>
          <w:rFonts w:asciiTheme="minorHAnsi" w:hAnsiTheme="minorHAnsi" w:cs="Times New Roman"/>
          <w:color w:val="auto"/>
          <w:sz w:val="20"/>
          <w:szCs w:val="20"/>
          <w:lang w:val="sr-Cyrl-RS"/>
        </w:rPr>
        <w:t>д.д. Босна и Херц</w:t>
      </w:r>
      <w:r w:rsidR="00C81AA1" w:rsidRPr="00E04851">
        <w:rPr>
          <w:rFonts w:asciiTheme="minorHAnsi" w:hAnsiTheme="minorHAnsi" w:cs="Times New Roman"/>
          <w:color w:val="auto"/>
          <w:sz w:val="20"/>
          <w:szCs w:val="20"/>
          <w:lang w:val="sr-Cyrl-RS"/>
        </w:rPr>
        <w:t>еговина и МКД Таурус д.о.о. Бања Лука.</w:t>
      </w:r>
      <w:r w:rsidR="00036827" w:rsidRPr="00E04851">
        <w:rPr>
          <w:rFonts w:asciiTheme="minorHAnsi" w:hAnsiTheme="minorHAnsi" w:cs="Times New Roman"/>
          <w:color w:val="auto"/>
          <w:sz w:val="20"/>
          <w:szCs w:val="20"/>
          <w:lang w:val="sr-Cyrl-RS"/>
        </w:rPr>
        <w:t xml:space="preserve"> </w:t>
      </w:r>
      <w:r w:rsidR="00E04851" w:rsidRPr="00E04851">
        <w:rPr>
          <w:rFonts w:asciiTheme="minorHAnsi" w:hAnsiTheme="minorHAnsi" w:cs="Times New Roman"/>
          <w:color w:val="auto"/>
          <w:sz w:val="20"/>
          <w:szCs w:val="20"/>
          <w:lang w:val="sr-Cyrl-RS"/>
        </w:rPr>
        <w:t xml:space="preserve">Са Procredit </w:t>
      </w:r>
      <w:r w:rsidR="00E04851">
        <w:rPr>
          <w:rFonts w:asciiTheme="minorHAnsi" w:hAnsiTheme="minorHAnsi" w:cs="Times New Roman"/>
          <w:color w:val="auto"/>
          <w:sz w:val="20"/>
          <w:szCs w:val="20"/>
          <w:lang w:val="sr-Cyrl-RS"/>
        </w:rPr>
        <w:t xml:space="preserve">и </w:t>
      </w:r>
      <w:r w:rsidR="00E04851">
        <w:rPr>
          <w:rFonts w:asciiTheme="minorHAnsi" w:hAnsiTheme="minorHAnsi"/>
          <w:sz w:val="20"/>
          <w:szCs w:val="20"/>
        </w:rPr>
        <w:t xml:space="preserve">Unicredit </w:t>
      </w:r>
      <w:r w:rsidR="00E04851">
        <w:rPr>
          <w:rFonts w:asciiTheme="minorHAnsi" w:hAnsiTheme="minorHAnsi"/>
          <w:sz w:val="20"/>
          <w:szCs w:val="20"/>
          <w:lang w:val="sr-Cyrl-RS"/>
        </w:rPr>
        <w:t>банком</w:t>
      </w:r>
      <w:r w:rsidR="00E04851" w:rsidRPr="00C81AA1">
        <w:rPr>
          <w:rFonts w:asciiTheme="minorHAnsi" w:hAnsiTheme="minorHAnsi"/>
          <w:sz w:val="20"/>
          <w:szCs w:val="20"/>
        </w:rPr>
        <w:t xml:space="preserve"> </w:t>
      </w:r>
      <w:r w:rsidR="00E04851" w:rsidRPr="00E04851">
        <w:rPr>
          <w:rFonts w:asciiTheme="minorHAnsi" w:hAnsiTheme="minorHAnsi" w:cs="Times New Roman"/>
          <w:color w:val="auto"/>
          <w:sz w:val="20"/>
          <w:szCs w:val="20"/>
          <w:lang w:val="sr-Cyrl-RS"/>
        </w:rPr>
        <w:t>је потписан</w:t>
      </w:r>
      <w:r w:rsidR="00E04851">
        <w:rPr>
          <w:rFonts w:asciiTheme="minorHAnsi" w:hAnsiTheme="minorHAnsi" w:cs="Times New Roman"/>
          <w:color w:val="auto"/>
          <w:sz w:val="20"/>
          <w:szCs w:val="20"/>
          <w:lang w:val="sr-Cyrl-RS"/>
        </w:rPr>
        <w:t xml:space="preserve"> и додатни уговор о гарантовању кредитног портфеља који се односи искључиво на пројекте улагања у обновљиве изворе енергије и енергетску ефикасност. </w:t>
      </w:r>
      <w:r w:rsidR="00C81AA1">
        <w:rPr>
          <w:rFonts w:asciiTheme="minorHAnsi" w:hAnsiTheme="minorHAnsi" w:cs="Times New Roman"/>
          <w:color w:val="auto"/>
          <w:sz w:val="20"/>
          <w:szCs w:val="20"/>
          <w:lang w:val="sr-Cyrl-RS"/>
        </w:rPr>
        <w:t>Поред наведеног, уговорен је и посеба</w:t>
      </w:r>
      <w:r w:rsidR="00E04851">
        <w:rPr>
          <w:rFonts w:asciiTheme="minorHAnsi" w:hAnsiTheme="minorHAnsi" w:cs="Times New Roman"/>
          <w:color w:val="auto"/>
          <w:sz w:val="20"/>
          <w:szCs w:val="20"/>
          <w:lang w:val="sr-Cyrl-RS"/>
        </w:rPr>
        <w:t xml:space="preserve">н трипаритетни кредитни портфељ у којем учествују </w:t>
      </w:r>
      <w:r w:rsidR="00C81AA1">
        <w:rPr>
          <w:rFonts w:asciiTheme="minorHAnsi" w:hAnsiTheme="minorHAnsi" w:cs="Times New Roman"/>
          <w:color w:val="auto"/>
          <w:sz w:val="20"/>
          <w:szCs w:val="20"/>
          <w:lang w:val="sr-Cyrl-RS"/>
        </w:rPr>
        <w:t xml:space="preserve"> </w:t>
      </w:r>
      <w:r w:rsidR="00E04851">
        <w:rPr>
          <w:rFonts w:asciiTheme="minorHAnsi" w:hAnsiTheme="minorHAnsi" w:cs="Times New Roman"/>
          <w:color w:val="auto"/>
          <w:sz w:val="20"/>
          <w:szCs w:val="20"/>
          <w:lang w:val="sr-Cyrl-RS"/>
        </w:rPr>
        <w:t>Гарантни фонд, Прокредит банка и Фондација за развој града Приједора, а којим је предвиђена подршка привредницима са подручја Приједора.</w:t>
      </w:r>
    </w:p>
    <w:p w:rsidR="00036827" w:rsidRPr="00A13C00" w:rsidRDefault="00036827" w:rsidP="001538EF">
      <w:pPr>
        <w:pStyle w:val="Default"/>
        <w:jc w:val="both"/>
        <w:rPr>
          <w:rFonts w:asciiTheme="minorHAnsi" w:hAnsiTheme="minorHAnsi" w:cs="Times New Roman"/>
          <w:color w:val="auto"/>
          <w:sz w:val="20"/>
          <w:szCs w:val="20"/>
          <w:lang w:val="sr-Cyrl-RS"/>
        </w:rPr>
      </w:pPr>
    </w:p>
    <w:p w:rsidR="001538EF" w:rsidRPr="00C779CA" w:rsidRDefault="001538EF" w:rsidP="00C779CA">
      <w:pPr>
        <w:pStyle w:val="Default"/>
        <w:jc w:val="center"/>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val="sr-Latn-RS" w:eastAsia="sr-Latn-RS"/>
        </w:rPr>
        <w:t>Преглед изданих гаранција</w:t>
      </w:r>
      <w:r w:rsidR="000704FD">
        <w:rPr>
          <w:rFonts w:asciiTheme="minorHAnsi" w:hAnsiTheme="minorHAnsi" w:cs="Times New Roman"/>
          <w:b/>
          <w:bCs/>
          <w:sz w:val="20"/>
          <w:szCs w:val="20"/>
          <w:lang w:val="sr-Cyrl-RS" w:eastAsia="sr-Latn-RS"/>
        </w:rPr>
        <w:t xml:space="preserve"> у оквиру кредитног портфеља</w:t>
      </w:r>
      <w:r w:rsidRPr="005767EF">
        <w:rPr>
          <w:rFonts w:asciiTheme="minorHAnsi" w:hAnsiTheme="minorHAnsi" w:cs="Times New Roman"/>
          <w:b/>
          <w:bCs/>
          <w:sz w:val="20"/>
          <w:szCs w:val="20"/>
          <w:lang w:val="sr-Latn-RS" w:eastAsia="sr-Latn-RS"/>
        </w:rPr>
        <w:t xml:space="preserve"> </w:t>
      </w:r>
      <w:r w:rsidR="009342FB">
        <w:rPr>
          <w:rFonts w:asciiTheme="minorHAnsi" w:hAnsiTheme="minorHAnsi" w:cs="Times New Roman"/>
          <w:b/>
          <w:bCs/>
          <w:sz w:val="20"/>
          <w:szCs w:val="20"/>
          <w:lang w:val="sr-Cyrl-RS" w:eastAsia="sr-Latn-RS"/>
        </w:rPr>
        <w:t xml:space="preserve">по финансијским посредницима </w:t>
      </w:r>
      <w:r w:rsidR="000704FD">
        <w:rPr>
          <w:rFonts w:asciiTheme="minorHAnsi" w:hAnsiTheme="minorHAnsi" w:cs="Times New Roman"/>
          <w:b/>
          <w:bCs/>
          <w:sz w:val="20"/>
          <w:szCs w:val="20"/>
          <w:lang w:val="sr-Cyrl-RS" w:eastAsia="sr-Latn-RS"/>
        </w:rPr>
        <w:t>у</w:t>
      </w:r>
      <w:r w:rsidRPr="005767EF">
        <w:rPr>
          <w:rFonts w:asciiTheme="minorHAnsi" w:hAnsiTheme="minorHAnsi" w:cs="Times New Roman"/>
          <w:b/>
          <w:bCs/>
          <w:sz w:val="20"/>
          <w:szCs w:val="20"/>
          <w:lang w:val="sr-Latn-RS" w:eastAsia="sr-Latn-RS"/>
        </w:rPr>
        <w:t xml:space="preserve"> период</w:t>
      </w:r>
      <w:r w:rsidR="000704FD">
        <w:rPr>
          <w:rFonts w:asciiTheme="minorHAnsi" w:hAnsiTheme="minorHAnsi" w:cs="Times New Roman"/>
          <w:b/>
          <w:bCs/>
          <w:sz w:val="20"/>
          <w:szCs w:val="20"/>
          <w:lang w:val="sr-Cyrl-RS" w:eastAsia="sr-Latn-RS"/>
        </w:rPr>
        <w:t>у</w:t>
      </w:r>
      <w:r w:rsidRPr="005767EF">
        <w:rPr>
          <w:rFonts w:asciiTheme="minorHAnsi" w:hAnsiTheme="minorHAnsi" w:cs="Times New Roman"/>
          <w:b/>
          <w:bCs/>
          <w:sz w:val="20"/>
          <w:szCs w:val="20"/>
          <w:lang w:val="sr-Latn-RS" w:eastAsia="sr-Latn-RS"/>
        </w:rPr>
        <w:t xml:space="preserve"> 01.01.202</w:t>
      </w:r>
      <w:r w:rsidR="003426AA">
        <w:rPr>
          <w:rFonts w:asciiTheme="minorHAnsi" w:hAnsiTheme="minorHAnsi" w:cs="Times New Roman"/>
          <w:b/>
          <w:bCs/>
          <w:sz w:val="20"/>
          <w:szCs w:val="20"/>
          <w:lang w:val="sr-Cyrl-RS" w:eastAsia="sr-Latn-RS"/>
        </w:rPr>
        <w:t>4</w:t>
      </w:r>
      <w:r w:rsidRPr="005767EF">
        <w:rPr>
          <w:rFonts w:asciiTheme="minorHAnsi" w:hAnsiTheme="minorHAnsi" w:cs="Times New Roman"/>
          <w:b/>
          <w:bCs/>
          <w:sz w:val="20"/>
          <w:szCs w:val="20"/>
          <w:lang w:val="sr-Latn-RS" w:eastAsia="sr-Latn-RS"/>
        </w:rPr>
        <w:t>. - 31.12.202</w:t>
      </w:r>
      <w:r w:rsidR="003426AA">
        <w:rPr>
          <w:rFonts w:asciiTheme="minorHAnsi" w:hAnsiTheme="minorHAnsi" w:cs="Times New Roman"/>
          <w:b/>
          <w:bCs/>
          <w:sz w:val="20"/>
          <w:szCs w:val="20"/>
          <w:lang w:val="sr-Cyrl-RS" w:eastAsia="sr-Latn-RS"/>
        </w:rPr>
        <w:t>4</w:t>
      </w:r>
      <w:r w:rsidR="00C779CA">
        <w:rPr>
          <w:rFonts w:asciiTheme="minorHAnsi" w:hAnsiTheme="minorHAnsi" w:cs="Times New Roman"/>
          <w:b/>
          <w:bCs/>
          <w:sz w:val="20"/>
          <w:szCs w:val="20"/>
          <w:lang w:val="sr-Latn-RS" w:eastAsia="sr-Latn-RS"/>
        </w:rPr>
        <w:t>. године</w:t>
      </w:r>
    </w:p>
    <w:p w:rsidR="001538EF" w:rsidRPr="00854960" w:rsidRDefault="001538EF" w:rsidP="00961BDD">
      <w:pPr>
        <w:pStyle w:val="Default"/>
        <w:ind w:left="1416" w:hanging="1416"/>
        <w:jc w:val="both"/>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t xml:space="preserve">        </w:t>
      </w:r>
      <w:r w:rsidR="00961BDD">
        <w:rPr>
          <w:rFonts w:asciiTheme="minorHAnsi" w:hAnsiTheme="minorHAnsi" w:cs="Times New Roman"/>
          <w:b/>
          <w:bCs/>
          <w:sz w:val="20"/>
          <w:szCs w:val="20"/>
          <w:lang w:val="sr-Cyrl-RS" w:eastAsia="sr-Latn-RS"/>
        </w:rPr>
        <w:t xml:space="preserve">                     </w:t>
      </w:r>
      <w:r w:rsidR="00854960">
        <w:rPr>
          <w:rFonts w:asciiTheme="minorHAnsi" w:hAnsiTheme="minorHAnsi" w:cs="Times New Roman"/>
          <w:b/>
          <w:bCs/>
          <w:sz w:val="20"/>
          <w:szCs w:val="20"/>
          <w:lang w:val="sr-Cyrl-RS" w:eastAsia="sr-Latn-RS"/>
        </w:rPr>
        <w:t xml:space="preserve"> </w:t>
      </w:r>
      <w:r w:rsidR="00A944C8">
        <w:rPr>
          <w:rFonts w:asciiTheme="minorHAnsi" w:hAnsiTheme="minorHAnsi" w:cs="Times New Roman"/>
          <w:b/>
          <w:bCs/>
          <w:sz w:val="20"/>
          <w:szCs w:val="20"/>
          <w:lang w:val="sr-Cyrl-RS" w:eastAsia="sr-Latn-RS"/>
        </w:rPr>
        <w:t xml:space="preserve">  </w:t>
      </w:r>
      <w:r w:rsidR="00961BDD">
        <w:rPr>
          <w:rFonts w:asciiTheme="minorHAnsi" w:hAnsiTheme="minorHAnsi" w:cs="Times New Roman"/>
          <w:b/>
          <w:bCs/>
          <w:sz w:val="20"/>
          <w:szCs w:val="20"/>
          <w:lang w:val="sr-Cyrl-RS" w:eastAsia="sr-Latn-RS"/>
        </w:rPr>
        <w:t xml:space="preserve">   </w:t>
      </w:r>
      <w:r w:rsidR="00961BDD">
        <w:rPr>
          <w:rFonts w:asciiTheme="minorHAnsi" w:hAnsiTheme="minorHAnsi" w:cs="Times New Roman"/>
          <w:b/>
          <w:bCs/>
          <w:sz w:val="20"/>
          <w:szCs w:val="20"/>
          <w:lang w:val="sr-Latn-RS" w:eastAsia="sr-Latn-RS"/>
        </w:rPr>
        <w:t>T</w:t>
      </w:r>
      <w:r w:rsidR="00A944C8">
        <w:rPr>
          <w:rFonts w:asciiTheme="minorHAnsi" w:hAnsiTheme="minorHAnsi" w:cs="Times New Roman"/>
          <w:b/>
          <w:bCs/>
          <w:sz w:val="20"/>
          <w:szCs w:val="20"/>
          <w:lang w:val="sr-Cyrl-RS" w:eastAsia="sr-Latn-RS"/>
        </w:rPr>
        <w:t>абела</w:t>
      </w:r>
      <w:r w:rsidR="00961BDD">
        <w:rPr>
          <w:rFonts w:asciiTheme="minorHAnsi" w:hAnsiTheme="minorHAnsi" w:cs="Times New Roman"/>
          <w:b/>
          <w:bCs/>
          <w:sz w:val="20"/>
          <w:szCs w:val="20"/>
          <w:lang w:val="sr-Latn-RS" w:eastAsia="sr-Latn-RS"/>
        </w:rPr>
        <w:t xml:space="preserve"> </w:t>
      </w:r>
      <w:r w:rsidR="00854960">
        <w:rPr>
          <w:rFonts w:asciiTheme="minorHAnsi" w:hAnsiTheme="minorHAnsi" w:cs="Times New Roman"/>
          <w:b/>
          <w:bCs/>
          <w:sz w:val="20"/>
          <w:szCs w:val="20"/>
          <w:lang w:val="sr-Cyrl-RS" w:eastAsia="sr-Latn-RS"/>
        </w:rPr>
        <w:t xml:space="preserve"> </w:t>
      </w:r>
      <w:r w:rsidR="0034546F">
        <w:rPr>
          <w:rFonts w:asciiTheme="minorHAnsi" w:hAnsiTheme="minorHAnsi" w:cs="Times New Roman"/>
          <w:b/>
          <w:bCs/>
          <w:sz w:val="20"/>
          <w:szCs w:val="20"/>
          <w:lang w:val="sr-Cyrl-RS" w:eastAsia="sr-Latn-RS"/>
        </w:rPr>
        <w:t>5</w:t>
      </w:r>
    </w:p>
    <w:tbl>
      <w:tblPr>
        <w:tblW w:w="8804" w:type="dxa"/>
        <w:tblInd w:w="93" w:type="dxa"/>
        <w:tblLayout w:type="fixed"/>
        <w:tblLook w:val="04A0" w:firstRow="1" w:lastRow="0" w:firstColumn="1" w:lastColumn="0" w:noHBand="0" w:noVBand="1"/>
      </w:tblPr>
      <w:tblGrid>
        <w:gridCol w:w="1218"/>
        <w:gridCol w:w="1491"/>
        <w:gridCol w:w="1275"/>
        <w:gridCol w:w="1276"/>
        <w:gridCol w:w="1276"/>
        <w:gridCol w:w="1276"/>
        <w:gridCol w:w="992"/>
      </w:tblGrid>
      <w:tr w:rsidR="00C81AA1" w:rsidRPr="00C81AA1" w:rsidTr="00C81AA1">
        <w:trPr>
          <w:trHeight w:val="945"/>
        </w:trPr>
        <w:tc>
          <w:tcPr>
            <w:tcW w:w="1218" w:type="dxa"/>
            <w:tcBorders>
              <w:top w:val="single" w:sz="4" w:space="0" w:color="auto"/>
              <w:left w:val="single" w:sz="4" w:space="0" w:color="auto"/>
              <w:bottom w:val="nil"/>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Финансијски посредник</w:t>
            </w:r>
          </w:p>
        </w:tc>
        <w:tc>
          <w:tcPr>
            <w:tcW w:w="1491" w:type="dxa"/>
            <w:tcBorders>
              <w:top w:val="single" w:sz="4" w:space="0" w:color="auto"/>
              <w:left w:val="nil"/>
              <w:bottom w:val="single" w:sz="4" w:space="0" w:color="auto"/>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Портфељ</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C81AA1" w:rsidRPr="00C81AA1" w:rsidRDefault="00C81AA1" w:rsidP="00C81AA1">
            <w:pPr>
              <w:ind w:right="-108"/>
              <w:jc w:val="center"/>
              <w:rPr>
                <w:rFonts w:ascii="Calibri" w:hAnsi="Calibri"/>
                <w:b/>
                <w:bCs/>
                <w:sz w:val="16"/>
                <w:szCs w:val="16"/>
              </w:rPr>
            </w:pPr>
            <w:r w:rsidRPr="00C81AA1">
              <w:rPr>
                <w:rFonts w:ascii="Calibri" w:hAnsi="Calibri"/>
                <w:b/>
                <w:bCs/>
                <w:sz w:val="16"/>
                <w:szCs w:val="16"/>
              </w:rPr>
              <w:t>Уговорени обим кредитног портфеља ( КМ)</w:t>
            </w:r>
          </w:p>
        </w:tc>
        <w:tc>
          <w:tcPr>
            <w:tcW w:w="1276" w:type="dxa"/>
            <w:tcBorders>
              <w:top w:val="single" w:sz="4" w:space="0" w:color="auto"/>
              <w:left w:val="nil"/>
              <w:bottom w:val="nil"/>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Број кредита</w:t>
            </w:r>
          </w:p>
        </w:tc>
        <w:tc>
          <w:tcPr>
            <w:tcW w:w="1276" w:type="dxa"/>
            <w:tcBorders>
              <w:top w:val="single" w:sz="4" w:space="0" w:color="auto"/>
              <w:left w:val="nil"/>
              <w:bottom w:val="nil"/>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Износ кредита</w:t>
            </w:r>
          </w:p>
        </w:tc>
        <w:tc>
          <w:tcPr>
            <w:tcW w:w="1276" w:type="dxa"/>
            <w:tcBorders>
              <w:top w:val="single" w:sz="4" w:space="0" w:color="auto"/>
              <w:left w:val="nil"/>
              <w:bottom w:val="nil"/>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Износ гаранције</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C81AA1" w:rsidRPr="00C81AA1" w:rsidRDefault="00C81AA1" w:rsidP="00C81AA1">
            <w:pPr>
              <w:ind w:right="-108"/>
              <w:jc w:val="center"/>
              <w:rPr>
                <w:rFonts w:ascii="Calibri" w:hAnsi="Calibri"/>
                <w:b/>
                <w:bCs/>
                <w:sz w:val="16"/>
                <w:szCs w:val="16"/>
              </w:rPr>
            </w:pPr>
            <w:r w:rsidRPr="00C81AA1">
              <w:rPr>
                <w:rFonts w:ascii="Calibri" w:hAnsi="Calibri"/>
                <w:b/>
                <w:bCs/>
                <w:sz w:val="16"/>
                <w:szCs w:val="16"/>
              </w:rPr>
              <w:t>Учешће у пласираним гаранцијама</w:t>
            </w:r>
          </w:p>
        </w:tc>
      </w:tr>
      <w:tr w:rsidR="00C81AA1" w:rsidRPr="00C81AA1" w:rsidTr="00C81AA1">
        <w:trPr>
          <w:trHeight w:val="345"/>
        </w:trPr>
        <w:tc>
          <w:tcPr>
            <w:tcW w:w="1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Procredit bank d.d. Bosna i Hercegovina</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40.000.000,00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9.560.000,00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4.780.000,00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30,57%</w:t>
            </w:r>
          </w:p>
        </w:tc>
      </w:tr>
      <w:tr w:rsidR="00C81AA1" w:rsidRPr="00C81AA1" w:rsidTr="00C81AA1">
        <w:trPr>
          <w:trHeight w:val="555"/>
        </w:trPr>
        <w:tc>
          <w:tcPr>
            <w:tcW w:w="1218" w:type="dxa"/>
            <w:vMerge/>
            <w:tcBorders>
              <w:top w:val="single" w:sz="4" w:space="0" w:color="auto"/>
              <w:left w:val="single" w:sz="4" w:space="0" w:color="auto"/>
              <w:bottom w:val="single" w:sz="4" w:space="0" w:color="auto"/>
              <w:right w:val="single" w:sz="4" w:space="0" w:color="auto"/>
            </w:tcBorders>
            <w:vAlign w:val="center"/>
            <w:hideMark/>
          </w:tcPr>
          <w:p w:rsidR="00C81AA1" w:rsidRPr="00C81AA1" w:rsidRDefault="00C81AA1" w:rsidP="00C81AA1">
            <w:pPr>
              <w:jc w:val="left"/>
              <w:rPr>
                <w:rFonts w:ascii="Calibri" w:hAnsi="Calibri"/>
                <w:sz w:val="16"/>
                <w:szCs w:val="16"/>
              </w:rPr>
            </w:pP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Портфељ за обновљиве изворе енергије</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20.000.000,00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16</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6.673.000,00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3.336.500,00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21,34%</w:t>
            </w:r>
          </w:p>
        </w:tc>
      </w:tr>
      <w:tr w:rsidR="00C81AA1" w:rsidRPr="00C81AA1" w:rsidTr="00C81AA1">
        <w:trPr>
          <w:trHeight w:val="315"/>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 xml:space="preserve">УКУПНО </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60.000.000,00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57</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16.233.000,00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8.116.500,00</w:t>
            </w:r>
          </w:p>
        </w:tc>
        <w:tc>
          <w:tcPr>
            <w:tcW w:w="992" w:type="dxa"/>
            <w:tcBorders>
              <w:top w:val="nil"/>
              <w:left w:val="nil"/>
              <w:bottom w:val="single" w:sz="4" w:space="0" w:color="auto"/>
              <w:right w:val="single" w:sz="4" w:space="0" w:color="auto"/>
            </w:tcBorders>
            <w:shd w:val="clear" w:color="000000" w:fill="C5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51,90%</w:t>
            </w:r>
          </w:p>
        </w:tc>
      </w:tr>
      <w:tr w:rsidR="00C81AA1" w:rsidRPr="00C81AA1" w:rsidTr="00C81AA1">
        <w:trPr>
          <w:trHeight w:val="360"/>
        </w:trPr>
        <w:tc>
          <w:tcPr>
            <w:tcW w:w="1218" w:type="dxa"/>
            <w:vMerge w:val="restart"/>
            <w:tcBorders>
              <w:top w:val="nil"/>
              <w:left w:val="single" w:sz="4" w:space="0" w:color="auto"/>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Unicredit bank a.d. Banja Luka</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AE0DAF" w:rsidP="00C81AA1">
            <w:pPr>
              <w:jc w:val="right"/>
              <w:rPr>
                <w:rFonts w:ascii="Calibri" w:hAnsi="Calibri"/>
                <w:sz w:val="16"/>
                <w:szCs w:val="16"/>
              </w:rPr>
            </w:pPr>
            <w:r>
              <w:rPr>
                <w:rFonts w:ascii="Calibri" w:hAnsi="Calibri"/>
                <w:sz w:val="16"/>
                <w:szCs w:val="16"/>
                <w:lang w:val="sr-Cyrl-RS"/>
              </w:rPr>
              <w:t>4</w:t>
            </w:r>
            <w:r w:rsidR="00C81AA1" w:rsidRPr="00C81AA1">
              <w:rPr>
                <w:rFonts w:ascii="Calibri" w:hAnsi="Calibri"/>
                <w:sz w:val="16"/>
                <w:szCs w:val="16"/>
              </w:rPr>
              <w:t>0.000.000,00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25</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10.016.000,00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5.008.000,00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32,03%</w:t>
            </w:r>
          </w:p>
        </w:tc>
      </w:tr>
      <w:tr w:rsidR="00C81AA1" w:rsidRPr="00C81AA1" w:rsidTr="00C81AA1">
        <w:trPr>
          <w:trHeight w:val="315"/>
        </w:trPr>
        <w:tc>
          <w:tcPr>
            <w:tcW w:w="1218" w:type="dxa"/>
            <w:vMerge/>
            <w:tcBorders>
              <w:top w:val="nil"/>
              <w:left w:val="single" w:sz="4" w:space="0" w:color="auto"/>
              <w:bottom w:val="single" w:sz="4" w:space="0" w:color="auto"/>
              <w:right w:val="single" w:sz="4" w:space="0" w:color="auto"/>
            </w:tcBorders>
            <w:vAlign w:val="center"/>
            <w:hideMark/>
          </w:tcPr>
          <w:p w:rsidR="00C81AA1" w:rsidRPr="00C81AA1" w:rsidRDefault="00C81AA1" w:rsidP="00C81AA1">
            <w:pPr>
              <w:jc w:val="left"/>
              <w:rPr>
                <w:rFonts w:ascii="Calibri" w:hAnsi="Calibri"/>
                <w:sz w:val="16"/>
                <w:szCs w:val="16"/>
              </w:rPr>
            </w:pP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Портфељ за ОИЕ</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AE0DAF" w:rsidP="00C81AA1">
            <w:pPr>
              <w:jc w:val="right"/>
              <w:rPr>
                <w:rFonts w:ascii="Calibri" w:hAnsi="Calibri"/>
                <w:sz w:val="16"/>
                <w:szCs w:val="16"/>
              </w:rPr>
            </w:pPr>
            <w:r>
              <w:rPr>
                <w:rFonts w:ascii="Calibri" w:hAnsi="Calibri"/>
                <w:sz w:val="16"/>
                <w:szCs w:val="16"/>
                <w:lang w:val="sr-Cyrl-RS"/>
              </w:rPr>
              <w:t>1</w:t>
            </w:r>
            <w:r w:rsidR="00C81AA1" w:rsidRPr="00C81AA1">
              <w:rPr>
                <w:rFonts w:ascii="Calibri" w:hAnsi="Calibri"/>
                <w:sz w:val="16"/>
                <w:szCs w:val="16"/>
              </w:rPr>
              <w:t>0.000.000,00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1.792.550,00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896.275,00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5,73%</w:t>
            </w:r>
          </w:p>
        </w:tc>
      </w:tr>
      <w:tr w:rsidR="00C81AA1" w:rsidRPr="00C81AA1" w:rsidTr="00C81AA1">
        <w:trPr>
          <w:trHeight w:val="24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УКУПНО</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50.000.000,00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30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11.808.550,00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5.904.275,00</w:t>
            </w:r>
          </w:p>
        </w:tc>
        <w:tc>
          <w:tcPr>
            <w:tcW w:w="992" w:type="dxa"/>
            <w:tcBorders>
              <w:top w:val="nil"/>
              <w:left w:val="nil"/>
              <w:bottom w:val="single" w:sz="4" w:space="0" w:color="auto"/>
              <w:right w:val="single" w:sz="4" w:space="0" w:color="auto"/>
            </w:tcBorders>
            <w:shd w:val="clear" w:color="000000" w:fill="C5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37,76%</w:t>
            </w:r>
          </w:p>
        </w:tc>
      </w:tr>
      <w:tr w:rsidR="00C81AA1" w:rsidRPr="00C81AA1" w:rsidTr="00C81AA1">
        <w:trPr>
          <w:trHeight w:val="420"/>
        </w:trPr>
        <w:tc>
          <w:tcPr>
            <w:tcW w:w="1218" w:type="dxa"/>
            <w:tcBorders>
              <w:top w:val="nil"/>
              <w:left w:val="single" w:sz="4" w:space="0" w:color="auto"/>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SPARKASSE BANK d.d. Bosna i Hercegovina</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10.000.000,00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10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3.123.000,00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bCs/>
                <w:sz w:val="16"/>
                <w:szCs w:val="16"/>
              </w:rPr>
            </w:pPr>
            <w:r w:rsidRPr="00C81AA1">
              <w:rPr>
                <w:rFonts w:ascii="Calibri" w:hAnsi="Calibri"/>
                <w:bCs/>
                <w:sz w:val="16"/>
                <w:szCs w:val="16"/>
              </w:rPr>
              <w:t>1.561.500,00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9,99%</w:t>
            </w:r>
          </w:p>
        </w:tc>
      </w:tr>
      <w:tr w:rsidR="00C81AA1" w:rsidRPr="00C81AA1" w:rsidTr="00C81AA1">
        <w:trPr>
          <w:trHeight w:val="24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УКУПНО</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10.000.000,00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10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3.123.000,00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1.561.500,00</w:t>
            </w:r>
          </w:p>
        </w:tc>
        <w:tc>
          <w:tcPr>
            <w:tcW w:w="992" w:type="dxa"/>
            <w:tcBorders>
              <w:top w:val="nil"/>
              <w:left w:val="nil"/>
              <w:bottom w:val="single" w:sz="4" w:space="0" w:color="auto"/>
              <w:right w:val="single" w:sz="4" w:space="0" w:color="auto"/>
            </w:tcBorders>
            <w:shd w:val="clear" w:color="000000" w:fill="C5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9,99%</w:t>
            </w:r>
          </w:p>
        </w:tc>
      </w:tr>
      <w:tr w:rsidR="00C81AA1" w:rsidRPr="00C81AA1" w:rsidTr="00C81AA1">
        <w:trPr>
          <w:trHeight w:val="480"/>
        </w:trPr>
        <w:tc>
          <w:tcPr>
            <w:tcW w:w="1218" w:type="dxa"/>
            <w:tcBorders>
              <w:top w:val="nil"/>
              <w:left w:val="single" w:sz="4" w:space="0" w:color="auto"/>
              <w:bottom w:val="single" w:sz="4" w:space="0" w:color="auto"/>
              <w:right w:val="single" w:sz="4" w:space="0" w:color="auto"/>
            </w:tcBorders>
            <w:shd w:val="clear" w:color="auto" w:fill="auto"/>
            <w:vAlign w:val="center"/>
            <w:hideMark/>
          </w:tcPr>
          <w:p w:rsidR="00C81AA1" w:rsidRPr="00C81AA1" w:rsidRDefault="00C81AA1" w:rsidP="00C81AA1">
            <w:pPr>
              <w:ind w:right="-181"/>
              <w:jc w:val="left"/>
              <w:rPr>
                <w:rFonts w:ascii="Calibri" w:hAnsi="Calibri"/>
                <w:sz w:val="16"/>
                <w:szCs w:val="16"/>
              </w:rPr>
            </w:pPr>
            <w:r w:rsidRPr="00C81AA1">
              <w:rPr>
                <w:rFonts w:ascii="Calibri" w:hAnsi="Calibri"/>
                <w:sz w:val="16"/>
                <w:szCs w:val="16"/>
              </w:rPr>
              <w:t>MKD TAURUS d.o.o. Banja Luka</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bCs/>
                <w:sz w:val="16"/>
                <w:szCs w:val="16"/>
              </w:rPr>
            </w:pPr>
            <w:r w:rsidRPr="00C81AA1">
              <w:rPr>
                <w:rFonts w:ascii="Calibri" w:hAnsi="Calibri"/>
                <w:bCs/>
                <w:sz w:val="16"/>
                <w:szCs w:val="16"/>
              </w:rPr>
              <w:t>500.000,00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65.000,00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32.500,00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0,21%</w:t>
            </w:r>
          </w:p>
        </w:tc>
      </w:tr>
      <w:tr w:rsidR="00C81AA1" w:rsidRPr="00C81AA1" w:rsidTr="00C81AA1">
        <w:trPr>
          <w:trHeight w:val="24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УКУПНО</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500.000,00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2</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65.000,00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32.500,00</w:t>
            </w:r>
          </w:p>
        </w:tc>
        <w:tc>
          <w:tcPr>
            <w:tcW w:w="992" w:type="dxa"/>
            <w:tcBorders>
              <w:top w:val="nil"/>
              <w:left w:val="nil"/>
              <w:bottom w:val="single" w:sz="4" w:space="0" w:color="auto"/>
              <w:right w:val="single" w:sz="4" w:space="0" w:color="auto"/>
            </w:tcBorders>
            <w:shd w:val="clear" w:color="000000" w:fill="C5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0,21%</w:t>
            </w:r>
          </w:p>
        </w:tc>
      </w:tr>
      <w:tr w:rsidR="00C81AA1" w:rsidRPr="00C81AA1" w:rsidTr="00C81AA1">
        <w:trPr>
          <w:trHeight w:val="720"/>
        </w:trPr>
        <w:tc>
          <w:tcPr>
            <w:tcW w:w="1218" w:type="dxa"/>
            <w:tcBorders>
              <w:top w:val="nil"/>
              <w:left w:val="single" w:sz="4" w:space="0" w:color="auto"/>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Procredit banka i Fondacija za razvoj grada Prijedora</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5.000.000,00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45.000,00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22.500,00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0,14%</w:t>
            </w:r>
          </w:p>
        </w:tc>
      </w:tr>
      <w:tr w:rsidR="00C81AA1" w:rsidRPr="00C81AA1" w:rsidTr="00C81AA1">
        <w:trPr>
          <w:trHeight w:val="240"/>
        </w:trPr>
        <w:tc>
          <w:tcPr>
            <w:tcW w:w="270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УКУПНО</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5.000.000,00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1</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45.000,00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22.500,00</w:t>
            </w:r>
          </w:p>
        </w:tc>
        <w:tc>
          <w:tcPr>
            <w:tcW w:w="992" w:type="dxa"/>
            <w:tcBorders>
              <w:top w:val="nil"/>
              <w:left w:val="nil"/>
              <w:bottom w:val="single" w:sz="4" w:space="0" w:color="auto"/>
              <w:right w:val="single" w:sz="4" w:space="0" w:color="auto"/>
            </w:tcBorders>
            <w:shd w:val="clear" w:color="000000" w:fill="C5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0,14%</w:t>
            </w:r>
          </w:p>
        </w:tc>
      </w:tr>
      <w:tr w:rsidR="00C81AA1" w:rsidRPr="00C81AA1" w:rsidTr="00C81AA1">
        <w:trPr>
          <w:trHeight w:val="510"/>
        </w:trPr>
        <w:tc>
          <w:tcPr>
            <w:tcW w:w="1218" w:type="dxa"/>
            <w:tcBorders>
              <w:top w:val="nil"/>
              <w:left w:val="single" w:sz="4" w:space="0" w:color="auto"/>
              <w:bottom w:val="nil"/>
              <w:right w:val="single" w:sz="4" w:space="0" w:color="auto"/>
            </w:tcBorders>
            <w:shd w:val="clear" w:color="auto" w:fill="auto"/>
            <w:vAlign w:val="center"/>
            <w:hideMark/>
          </w:tcPr>
          <w:p w:rsidR="00C81AA1" w:rsidRPr="00C81AA1" w:rsidRDefault="00C81AA1" w:rsidP="00C81AA1">
            <w:pPr>
              <w:ind w:right="-181"/>
              <w:jc w:val="left"/>
              <w:rPr>
                <w:rFonts w:ascii="Calibri" w:hAnsi="Calibri"/>
                <w:sz w:val="16"/>
                <w:szCs w:val="16"/>
              </w:rPr>
            </w:pPr>
            <w:r w:rsidRPr="00C81AA1">
              <w:rPr>
                <w:rFonts w:ascii="Calibri" w:hAnsi="Calibri"/>
                <w:sz w:val="16"/>
                <w:szCs w:val="16"/>
              </w:rPr>
              <w:t>Нова банка а.д. Бања Лука</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20.000.000,00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0,00%</w:t>
            </w:r>
          </w:p>
        </w:tc>
      </w:tr>
      <w:tr w:rsidR="00C81AA1" w:rsidRPr="00C81AA1" w:rsidTr="00C81AA1">
        <w:trPr>
          <w:trHeight w:val="30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УКУПНО</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20.000.000,00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0,00</w:t>
            </w:r>
          </w:p>
        </w:tc>
        <w:tc>
          <w:tcPr>
            <w:tcW w:w="992" w:type="dxa"/>
            <w:tcBorders>
              <w:top w:val="nil"/>
              <w:left w:val="nil"/>
              <w:bottom w:val="single" w:sz="4" w:space="0" w:color="auto"/>
              <w:right w:val="single" w:sz="4" w:space="0" w:color="auto"/>
            </w:tcBorders>
            <w:shd w:val="clear" w:color="000000" w:fill="C5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0,00%</w:t>
            </w:r>
          </w:p>
        </w:tc>
      </w:tr>
      <w:tr w:rsidR="00C81AA1" w:rsidRPr="00C81AA1" w:rsidTr="00C81AA1">
        <w:trPr>
          <w:trHeight w:val="510"/>
        </w:trPr>
        <w:tc>
          <w:tcPr>
            <w:tcW w:w="1218" w:type="dxa"/>
            <w:tcBorders>
              <w:top w:val="nil"/>
              <w:left w:val="single" w:sz="4" w:space="0" w:color="auto"/>
              <w:bottom w:val="nil"/>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МФ банка а.д. Бања Лука</w:t>
            </w:r>
          </w:p>
        </w:tc>
        <w:tc>
          <w:tcPr>
            <w:tcW w:w="1491"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left"/>
              <w:rPr>
                <w:rFonts w:ascii="Calibri" w:hAnsi="Calibri"/>
                <w:sz w:val="16"/>
                <w:szCs w:val="16"/>
              </w:rPr>
            </w:pPr>
            <w:r w:rsidRPr="00C81AA1">
              <w:rPr>
                <w:rFonts w:ascii="Calibri" w:hAnsi="Calibri"/>
                <w:sz w:val="16"/>
                <w:szCs w:val="16"/>
              </w:rPr>
              <w:t>Општи портфељ</w:t>
            </w:r>
          </w:p>
        </w:tc>
        <w:tc>
          <w:tcPr>
            <w:tcW w:w="1275"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10.000.000,00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right"/>
              <w:rPr>
                <w:rFonts w:ascii="Calibri" w:hAnsi="Calibri"/>
                <w:sz w:val="16"/>
                <w:szCs w:val="16"/>
              </w:rPr>
            </w:pPr>
            <w:r w:rsidRPr="00C81AA1">
              <w:rPr>
                <w:rFonts w:ascii="Calibri" w:hAnsi="Calibri"/>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C81AA1" w:rsidRPr="00C81AA1" w:rsidRDefault="00C81AA1" w:rsidP="00C81AA1">
            <w:pPr>
              <w:jc w:val="center"/>
              <w:rPr>
                <w:rFonts w:ascii="Calibri" w:hAnsi="Calibri"/>
                <w:sz w:val="16"/>
                <w:szCs w:val="16"/>
              </w:rPr>
            </w:pPr>
            <w:r w:rsidRPr="00C81AA1">
              <w:rPr>
                <w:rFonts w:ascii="Calibri" w:hAnsi="Calibri"/>
                <w:sz w:val="16"/>
                <w:szCs w:val="16"/>
              </w:rPr>
              <w:t>0,00%</w:t>
            </w:r>
          </w:p>
        </w:tc>
      </w:tr>
      <w:tr w:rsidR="00C81AA1" w:rsidRPr="00C81AA1" w:rsidTr="00C81AA1">
        <w:trPr>
          <w:trHeight w:val="285"/>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УКУПНО</w:t>
            </w:r>
          </w:p>
        </w:tc>
        <w:tc>
          <w:tcPr>
            <w:tcW w:w="1275"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10.000.000,00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0,00</w:t>
            </w:r>
          </w:p>
        </w:tc>
        <w:tc>
          <w:tcPr>
            <w:tcW w:w="1276" w:type="dxa"/>
            <w:tcBorders>
              <w:top w:val="nil"/>
              <w:left w:val="nil"/>
              <w:bottom w:val="single" w:sz="4" w:space="0" w:color="auto"/>
              <w:right w:val="single" w:sz="4" w:space="0" w:color="auto"/>
            </w:tcBorders>
            <w:shd w:val="clear" w:color="000000" w:fill="C6D9F1"/>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0,00</w:t>
            </w:r>
          </w:p>
        </w:tc>
        <w:tc>
          <w:tcPr>
            <w:tcW w:w="992" w:type="dxa"/>
            <w:tcBorders>
              <w:top w:val="nil"/>
              <w:left w:val="nil"/>
              <w:bottom w:val="single" w:sz="4" w:space="0" w:color="auto"/>
              <w:right w:val="single" w:sz="4" w:space="0" w:color="auto"/>
            </w:tcBorders>
            <w:shd w:val="clear" w:color="000000" w:fill="B8CCE4"/>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0,00%</w:t>
            </w:r>
          </w:p>
        </w:tc>
      </w:tr>
      <w:tr w:rsidR="00C81AA1" w:rsidRPr="00C81AA1" w:rsidTr="00C81AA1">
        <w:trPr>
          <w:trHeight w:val="375"/>
        </w:trPr>
        <w:tc>
          <w:tcPr>
            <w:tcW w:w="2709"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rsidR="00C81AA1" w:rsidRPr="00C81AA1" w:rsidRDefault="00C81AA1" w:rsidP="00C81AA1">
            <w:pPr>
              <w:jc w:val="center"/>
              <w:rPr>
                <w:rFonts w:ascii="Calibri" w:hAnsi="Calibri"/>
                <w:b/>
                <w:bCs/>
                <w:color w:val="auto"/>
                <w:sz w:val="16"/>
                <w:szCs w:val="16"/>
              </w:rPr>
            </w:pPr>
            <w:r w:rsidRPr="00C81AA1">
              <w:rPr>
                <w:rFonts w:ascii="Calibri" w:hAnsi="Calibri"/>
                <w:b/>
                <w:bCs/>
                <w:color w:val="auto"/>
                <w:sz w:val="16"/>
                <w:szCs w:val="16"/>
              </w:rPr>
              <w:t>УКУПНО</w:t>
            </w:r>
          </w:p>
        </w:tc>
        <w:tc>
          <w:tcPr>
            <w:tcW w:w="1275" w:type="dxa"/>
            <w:tcBorders>
              <w:top w:val="nil"/>
              <w:left w:val="nil"/>
              <w:bottom w:val="single" w:sz="4" w:space="0" w:color="auto"/>
              <w:right w:val="single" w:sz="4" w:space="0" w:color="auto"/>
            </w:tcBorders>
            <w:shd w:val="clear" w:color="000000" w:fill="8DB4E2"/>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155.500.000,00</w:t>
            </w:r>
          </w:p>
        </w:tc>
        <w:tc>
          <w:tcPr>
            <w:tcW w:w="1276" w:type="dxa"/>
            <w:tcBorders>
              <w:top w:val="nil"/>
              <w:left w:val="nil"/>
              <w:bottom w:val="single" w:sz="4" w:space="0" w:color="auto"/>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100</w:t>
            </w:r>
          </w:p>
        </w:tc>
        <w:tc>
          <w:tcPr>
            <w:tcW w:w="1276" w:type="dxa"/>
            <w:tcBorders>
              <w:top w:val="nil"/>
              <w:left w:val="nil"/>
              <w:bottom w:val="single" w:sz="4" w:space="0" w:color="auto"/>
              <w:right w:val="single" w:sz="4" w:space="0" w:color="auto"/>
            </w:tcBorders>
            <w:shd w:val="clear" w:color="000000" w:fill="8DB4E2"/>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31.274.550,00</w:t>
            </w:r>
          </w:p>
        </w:tc>
        <w:tc>
          <w:tcPr>
            <w:tcW w:w="1276" w:type="dxa"/>
            <w:tcBorders>
              <w:top w:val="nil"/>
              <w:left w:val="nil"/>
              <w:bottom w:val="single" w:sz="4" w:space="0" w:color="auto"/>
              <w:right w:val="single" w:sz="4" w:space="0" w:color="auto"/>
            </w:tcBorders>
            <w:shd w:val="clear" w:color="000000" w:fill="8DB4E2"/>
            <w:vAlign w:val="center"/>
            <w:hideMark/>
          </w:tcPr>
          <w:p w:rsidR="00C81AA1" w:rsidRPr="00C81AA1" w:rsidRDefault="00C81AA1" w:rsidP="00C81AA1">
            <w:pPr>
              <w:jc w:val="right"/>
              <w:rPr>
                <w:rFonts w:ascii="Calibri" w:hAnsi="Calibri"/>
                <w:b/>
                <w:bCs/>
                <w:sz w:val="16"/>
                <w:szCs w:val="16"/>
              </w:rPr>
            </w:pPr>
            <w:r w:rsidRPr="00C81AA1">
              <w:rPr>
                <w:rFonts w:ascii="Calibri" w:hAnsi="Calibri"/>
                <w:b/>
                <w:bCs/>
                <w:sz w:val="16"/>
                <w:szCs w:val="16"/>
              </w:rPr>
              <w:t>15.637.275,00</w:t>
            </w:r>
          </w:p>
        </w:tc>
        <w:tc>
          <w:tcPr>
            <w:tcW w:w="992" w:type="dxa"/>
            <w:tcBorders>
              <w:top w:val="nil"/>
              <w:left w:val="nil"/>
              <w:bottom w:val="single" w:sz="4" w:space="0" w:color="auto"/>
              <w:right w:val="single" w:sz="4" w:space="0" w:color="auto"/>
            </w:tcBorders>
            <w:shd w:val="clear" w:color="000000" w:fill="8DB4E2"/>
            <w:vAlign w:val="center"/>
            <w:hideMark/>
          </w:tcPr>
          <w:p w:rsidR="00C81AA1" w:rsidRPr="00C81AA1" w:rsidRDefault="00C81AA1" w:rsidP="00C81AA1">
            <w:pPr>
              <w:jc w:val="center"/>
              <w:rPr>
                <w:rFonts w:ascii="Calibri" w:hAnsi="Calibri"/>
                <w:b/>
                <w:bCs/>
                <w:sz w:val="16"/>
                <w:szCs w:val="16"/>
              </w:rPr>
            </w:pPr>
            <w:r w:rsidRPr="00C81AA1">
              <w:rPr>
                <w:rFonts w:ascii="Calibri" w:hAnsi="Calibri"/>
                <w:b/>
                <w:bCs/>
                <w:sz w:val="16"/>
                <w:szCs w:val="16"/>
              </w:rPr>
              <w:t>100,00%</w:t>
            </w:r>
          </w:p>
        </w:tc>
      </w:tr>
    </w:tbl>
    <w:p w:rsidR="005F1070" w:rsidRDefault="00036827"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Са </w:t>
      </w:r>
      <w:r w:rsidR="005F1070">
        <w:rPr>
          <w:rFonts w:asciiTheme="minorHAnsi" w:hAnsiTheme="minorHAnsi" w:cs="Times New Roman"/>
          <w:color w:val="auto"/>
          <w:sz w:val="20"/>
          <w:szCs w:val="20"/>
          <w:lang w:val="sr-Cyrl-BA"/>
        </w:rPr>
        <w:t>6</w:t>
      </w:r>
      <w:r w:rsidR="00585AD3">
        <w:rPr>
          <w:rFonts w:asciiTheme="minorHAnsi" w:hAnsiTheme="minorHAnsi" w:cs="Times New Roman"/>
          <w:color w:val="auto"/>
          <w:sz w:val="20"/>
          <w:szCs w:val="20"/>
          <w:lang w:val="sr-Cyrl-BA"/>
        </w:rPr>
        <w:t xml:space="preserve"> финансијск</w:t>
      </w:r>
      <w:r w:rsidR="005F1070">
        <w:rPr>
          <w:rFonts w:asciiTheme="minorHAnsi" w:hAnsiTheme="minorHAnsi" w:cs="Times New Roman"/>
          <w:color w:val="auto"/>
          <w:sz w:val="20"/>
          <w:szCs w:val="20"/>
          <w:lang w:val="sr-Cyrl-BA"/>
        </w:rPr>
        <w:t>их</w:t>
      </w:r>
      <w:r w:rsidR="00585AD3">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посредника наведен</w:t>
      </w:r>
      <w:r w:rsidR="005F1070">
        <w:rPr>
          <w:rFonts w:asciiTheme="minorHAnsi" w:hAnsiTheme="minorHAnsi" w:cs="Times New Roman"/>
          <w:color w:val="auto"/>
          <w:sz w:val="20"/>
          <w:szCs w:val="20"/>
          <w:lang w:val="sr-Cyrl-BA"/>
        </w:rPr>
        <w:t>их</w:t>
      </w:r>
      <w:r>
        <w:rPr>
          <w:rFonts w:asciiTheme="minorHAnsi" w:hAnsiTheme="minorHAnsi" w:cs="Times New Roman"/>
          <w:color w:val="auto"/>
          <w:sz w:val="20"/>
          <w:szCs w:val="20"/>
          <w:lang w:val="sr-Cyrl-BA"/>
        </w:rPr>
        <w:t xml:space="preserve"> у табели </w:t>
      </w:r>
      <w:r w:rsidR="00593546">
        <w:rPr>
          <w:rFonts w:asciiTheme="minorHAnsi" w:hAnsiTheme="minorHAnsi" w:cs="Times New Roman"/>
          <w:color w:val="auto"/>
          <w:sz w:val="20"/>
          <w:szCs w:val="20"/>
          <w:lang w:val="sr-Cyrl-BA"/>
        </w:rPr>
        <w:t>5</w:t>
      </w:r>
      <w:r w:rsidR="00585AD3">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је</w:t>
      </w:r>
      <w:r w:rsidR="00E04851">
        <w:rPr>
          <w:rFonts w:asciiTheme="minorHAnsi" w:hAnsiTheme="minorHAnsi" w:cs="Times New Roman"/>
          <w:color w:val="auto"/>
          <w:sz w:val="20"/>
          <w:szCs w:val="20"/>
          <w:lang w:val="sr-Cyrl-BA"/>
        </w:rPr>
        <w:t xml:space="preserve"> током протекле 4 године</w:t>
      </w:r>
      <w:r>
        <w:rPr>
          <w:rFonts w:asciiTheme="minorHAnsi" w:hAnsiTheme="minorHAnsi" w:cs="Times New Roman"/>
          <w:color w:val="auto"/>
          <w:sz w:val="20"/>
          <w:szCs w:val="20"/>
          <w:lang w:val="sr-Cyrl-BA"/>
        </w:rPr>
        <w:t xml:space="preserve"> уговорен </w:t>
      </w:r>
      <w:r w:rsidR="005F1070">
        <w:rPr>
          <w:rFonts w:asciiTheme="minorHAnsi" w:hAnsiTheme="minorHAnsi" w:cs="Times New Roman"/>
          <w:color w:val="auto"/>
          <w:sz w:val="20"/>
          <w:szCs w:val="20"/>
          <w:lang w:val="sr-Cyrl-BA"/>
        </w:rPr>
        <w:t>пласман 155.5</w:t>
      </w:r>
      <w:r w:rsidR="00585AD3">
        <w:rPr>
          <w:rFonts w:asciiTheme="minorHAnsi" w:hAnsiTheme="minorHAnsi" w:cs="Times New Roman"/>
          <w:color w:val="auto"/>
          <w:sz w:val="20"/>
          <w:szCs w:val="20"/>
          <w:lang w:val="sr-Cyrl-BA"/>
        </w:rPr>
        <w:t xml:space="preserve">00.000,00 КМ кредитних средстава уз максималну гаранцију у износу од </w:t>
      </w:r>
      <w:r w:rsidR="005F1070">
        <w:rPr>
          <w:rFonts w:asciiTheme="minorHAnsi" w:hAnsiTheme="minorHAnsi" w:cs="Times New Roman"/>
          <w:color w:val="auto"/>
          <w:sz w:val="20"/>
          <w:szCs w:val="20"/>
          <w:lang w:val="sr-Cyrl-BA"/>
        </w:rPr>
        <w:t>38.875</w:t>
      </w:r>
      <w:r w:rsidR="00585AD3">
        <w:rPr>
          <w:rFonts w:asciiTheme="minorHAnsi" w:hAnsiTheme="minorHAnsi" w:cs="Times New Roman"/>
          <w:color w:val="auto"/>
          <w:sz w:val="20"/>
          <w:szCs w:val="20"/>
          <w:lang w:val="sr-Cyrl-BA"/>
        </w:rPr>
        <w:t>.000,00 КМ</w:t>
      </w:r>
      <w:r w:rsidR="00CC181D">
        <w:rPr>
          <w:rFonts w:asciiTheme="minorHAnsi" w:hAnsiTheme="minorHAnsi" w:cs="Times New Roman"/>
          <w:color w:val="auto"/>
          <w:sz w:val="20"/>
          <w:szCs w:val="20"/>
        </w:rPr>
        <w:t xml:space="preserve">, </w:t>
      </w:r>
      <w:r w:rsidR="00CC181D">
        <w:rPr>
          <w:rFonts w:asciiTheme="minorHAnsi" w:hAnsiTheme="minorHAnsi" w:cs="Times New Roman"/>
          <w:color w:val="auto"/>
          <w:sz w:val="20"/>
          <w:szCs w:val="20"/>
          <w:lang w:val="sr-Cyrl-RS"/>
        </w:rPr>
        <w:t>односно 25% изложености</w:t>
      </w:r>
      <w:r w:rsidR="00585AD3">
        <w:rPr>
          <w:rFonts w:asciiTheme="minorHAnsi" w:hAnsiTheme="minorHAnsi" w:cs="Times New Roman"/>
          <w:color w:val="auto"/>
          <w:sz w:val="20"/>
          <w:szCs w:val="20"/>
          <w:lang w:val="sr-Cyrl-BA"/>
        </w:rPr>
        <w:t xml:space="preserve"> </w:t>
      </w:r>
      <w:r w:rsidR="00E04851">
        <w:rPr>
          <w:rFonts w:asciiTheme="minorHAnsi" w:hAnsiTheme="minorHAnsi" w:cs="Times New Roman"/>
          <w:color w:val="auto"/>
          <w:sz w:val="20"/>
          <w:szCs w:val="20"/>
          <w:lang w:val="sr-Cyrl-BA"/>
        </w:rPr>
        <w:t xml:space="preserve">Гарантног фонда </w:t>
      </w:r>
      <w:r w:rsidR="00585AD3">
        <w:rPr>
          <w:rFonts w:asciiTheme="minorHAnsi" w:hAnsiTheme="minorHAnsi" w:cs="Times New Roman"/>
          <w:color w:val="auto"/>
          <w:sz w:val="20"/>
          <w:szCs w:val="20"/>
          <w:lang w:val="sr-Cyrl-BA"/>
        </w:rPr>
        <w:t xml:space="preserve">на нивоу портфеља. </w:t>
      </w:r>
      <w:r>
        <w:rPr>
          <w:rFonts w:asciiTheme="minorHAnsi" w:hAnsiTheme="minorHAnsi" w:cs="Times New Roman"/>
          <w:color w:val="auto"/>
          <w:sz w:val="20"/>
          <w:szCs w:val="20"/>
          <w:lang w:val="sr-Cyrl-BA"/>
        </w:rPr>
        <w:t>Уговорена стопа гарантованог износа по појединачном кр</w:t>
      </w:r>
      <w:r w:rsidR="00E04851">
        <w:rPr>
          <w:rFonts w:asciiTheme="minorHAnsi" w:hAnsiTheme="minorHAnsi" w:cs="Times New Roman"/>
          <w:color w:val="auto"/>
          <w:sz w:val="20"/>
          <w:szCs w:val="20"/>
          <w:lang w:val="sr-Cyrl-BA"/>
        </w:rPr>
        <w:t>едиту у оквиру портфеља је 50%. У оквиру опшег портфеља је планиран пласман 1</w:t>
      </w:r>
      <w:r w:rsidR="00593546">
        <w:rPr>
          <w:rFonts w:asciiTheme="minorHAnsi" w:hAnsiTheme="minorHAnsi" w:cs="Times New Roman"/>
          <w:color w:val="auto"/>
          <w:sz w:val="20"/>
          <w:szCs w:val="20"/>
          <w:lang w:val="sr-Cyrl-BA"/>
        </w:rPr>
        <w:t>2</w:t>
      </w:r>
      <w:r w:rsidR="00E04851">
        <w:rPr>
          <w:rFonts w:asciiTheme="minorHAnsi" w:hAnsiTheme="minorHAnsi" w:cs="Times New Roman"/>
          <w:color w:val="auto"/>
          <w:sz w:val="20"/>
          <w:szCs w:val="20"/>
          <w:lang w:val="sr-Cyrl-BA"/>
        </w:rPr>
        <w:t xml:space="preserve">5.500.000,00 КМ, док се износ од </w:t>
      </w:r>
      <w:r w:rsidR="00593546">
        <w:rPr>
          <w:rFonts w:asciiTheme="minorHAnsi" w:hAnsiTheme="minorHAnsi" w:cs="Times New Roman"/>
          <w:color w:val="auto"/>
          <w:sz w:val="20"/>
          <w:szCs w:val="20"/>
          <w:lang w:val="sr-Cyrl-BA"/>
        </w:rPr>
        <w:t>3</w:t>
      </w:r>
      <w:r w:rsidR="00E04851">
        <w:rPr>
          <w:rFonts w:asciiTheme="minorHAnsi" w:hAnsiTheme="minorHAnsi" w:cs="Times New Roman"/>
          <w:color w:val="auto"/>
          <w:sz w:val="20"/>
          <w:szCs w:val="20"/>
          <w:lang w:val="sr-Cyrl-BA"/>
        </w:rPr>
        <w:t>0.000.000,00 КМ односи на портфељ за обновљиве изворе енергије.</w:t>
      </w:r>
    </w:p>
    <w:p w:rsidR="005F1070" w:rsidRDefault="005F1070" w:rsidP="00585AD3">
      <w:pPr>
        <w:pStyle w:val="Default"/>
        <w:jc w:val="both"/>
        <w:rPr>
          <w:rFonts w:asciiTheme="minorHAnsi" w:hAnsiTheme="minorHAnsi" w:cs="Times New Roman"/>
          <w:color w:val="auto"/>
          <w:sz w:val="20"/>
          <w:szCs w:val="20"/>
          <w:lang w:val="sr-Cyrl-BA"/>
        </w:rPr>
      </w:pPr>
    </w:p>
    <w:p w:rsidR="00FF3A7D" w:rsidRDefault="00617C37" w:rsidP="00585AD3">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Током 202</w:t>
      </w:r>
      <w:r w:rsidR="005F1070">
        <w:rPr>
          <w:rFonts w:asciiTheme="minorHAnsi" w:hAnsiTheme="minorHAnsi" w:cs="Times New Roman"/>
          <w:color w:val="auto"/>
          <w:sz w:val="20"/>
          <w:szCs w:val="20"/>
          <w:lang w:val="sr-Cyrl-BA"/>
        </w:rPr>
        <w:t>4</w:t>
      </w:r>
      <w:r>
        <w:rPr>
          <w:rFonts w:asciiTheme="minorHAnsi" w:hAnsiTheme="minorHAnsi" w:cs="Times New Roman"/>
          <w:color w:val="auto"/>
          <w:sz w:val="20"/>
          <w:szCs w:val="20"/>
          <w:lang w:val="sr-Cyrl-BA"/>
        </w:rPr>
        <w:t xml:space="preserve">. године </w:t>
      </w:r>
      <w:r w:rsidR="005F1070">
        <w:rPr>
          <w:rFonts w:asciiTheme="minorHAnsi" w:hAnsiTheme="minorHAnsi" w:cs="Times New Roman"/>
          <w:color w:val="auto"/>
          <w:sz w:val="20"/>
          <w:szCs w:val="20"/>
          <w:lang w:val="sr-Cyrl-BA"/>
        </w:rPr>
        <w:t>је</w:t>
      </w:r>
      <w:r w:rsidR="00585AD3">
        <w:rPr>
          <w:rFonts w:asciiTheme="minorHAnsi" w:hAnsiTheme="minorHAnsi" w:cs="Times New Roman"/>
          <w:color w:val="auto"/>
          <w:sz w:val="20"/>
          <w:szCs w:val="20"/>
          <w:lang w:val="sr-Cyrl-BA"/>
        </w:rPr>
        <w:t xml:space="preserve"> пласиран</w:t>
      </w:r>
      <w:r w:rsidR="005F1070">
        <w:rPr>
          <w:rFonts w:asciiTheme="minorHAnsi" w:hAnsiTheme="minorHAnsi" w:cs="Times New Roman"/>
          <w:color w:val="auto"/>
          <w:sz w:val="20"/>
          <w:szCs w:val="20"/>
          <w:lang w:val="sr-Cyrl-BA"/>
        </w:rPr>
        <w:t>о</w:t>
      </w:r>
      <w:r>
        <w:rPr>
          <w:rFonts w:asciiTheme="minorHAnsi" w:hAnsiTheme="minorHAnsi" w:cs="Times New Roman"/>
          <w:color w:val="auto"/>
          <w:sz w:val="20"/>
          <w:szCs w:val="20"/>
          <w:lang w:val="sr-Cyrl-BA"/>
        </w:rPr>
        <w:t xml:space="preserve"> </w:t>
      </w:r>
      <w:r w:rsidR="005F1070">
        <w:rPr>
          <w:rFonts w:asciiTheme="minorHAnsi" w:hAnsiTheme="minorHAnsi" w:cs="Times New Roman"/>
          <w:color w:val="auto"/>
          <w:sz w:val="20"/>
          <w:szCs w:val="20"/>
          <w:lang w:val="sr-Cyrl-BA"/>
        </w:rPr>
        <w:t>100</w:t>
      </w:r>
      <w:r w:rsidR="00585AD3">
        <w:rPr>
          <w:rFonts w:asciiTheme="minorHAnsi" w:hAnsiTheme="minorHAnsi" w:cs="Times New Roman"/>
          <w:color w:val="auto"/>
          <w:sz w:val="20"/>
          <w:szCs w:val="20"/>
          <w:lang w:val="sr-Cyrl-BA"/>
        </w:rPr>
        <w:t xml:space="preserve"> </w:t>
      </w:r>
      <w:r w:rsidR="005F1070">
        <w:rPr>
          <w:rFonts w:asciiTheme="minorHAnsi" w:hAnsiTheme="minorHAnsi" w:cs="Times New Roman"/>
          <w:color w:val="auto"/>
          <w:sz w:val="20"/>
          <w:szCs w:val="20"/>
          <w:lang w:val="sr-Cyrl-BA"/>
        </w:rPr>
        <w:t xml:space="preserve">гаранција у износу од </w:t>
      </w:r>
      <w:r w:rsidR="005F1070" w:rsidRPr="00FF3A7D">
        <w:rPr>
          <w:rFonts w:asciiTheme="minorHAnsi" w:hAnsiTheme="minorHAnsi" w:cs="Times New Roman"/>
          <w:b/>
          <w:color w:val="auto"/>
          <w:sz w:val="20"/>
          <w:szCs w:val="20"/>
          <w:lang w:val="sr-Cyrl-BA"/>
        </w:rPr>
        <w:t>15.637.275,00</w:t>
      </w:r>
      <w:r w:rsidRPr="00FF3A7D">
        <w:rPr>
          <w:rFonts w:asciiTheme="minorHAnsi" w:hAnsiTheme="minorHAnsi" w:cs="Times New Roman"/>
          <w:b/>
          <w:color w:val="auto"/>
          <w:sz w:val="20"/>
          <w:szCs w:val="20"/>
          <w:lang w:val="sr-Cyrl-BA"/>
        </w:rPr>
        <w:t xml:space="preserve"> КМ</w:t>
      </w:r>
      <w:r>
        <w:rPr>
          <w:rFonts w:asciiTheme="minorHAnsi" w:hAnsiTheme="minorHAnsi" w:cs="Times New Roman"/>
          <w:color w:val="auto"/>
          <w:sz w:val="20"/>
          <w:szCs w:val="20"/>
          <w:lang w:val="sr-Cyrl-BA"/>
        </w:rPr>
        <w:t>,</w:t>
      </w:r>
      <w:r w:rsidR="00585AD3">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 xml:space="preserve">чиме су подржани </w:t>
      </w:r>
      <w:r w:rsidRPr="005767EF">
        <w:rPr>
          <w:rFonts w:asciiTheme="minorHAnsi" w:hAnsiTheme="minorHAnsi" w:cs="Times New Roman"/>
          <w:color w:val="auto"/>
          <w:sz w:val="20"/>
          <w:szCs w:val="20"/>
          <w:lang w:val="sr-Cyrl-BA"/>
        </w:rPr>
        <w:t>пл</w:t>
      </w:r>
      <w:r>
        <w:rPr>
          <w:rFonts w:asciiTheme="minorHAnsi" w:hAnsiTheme="minorHAnsi" w:cs="Times New Roman"/>
          <w:color w:val="auto"/>
          <w:sz w:val="20"/>
          <w:szCs w:val="20"/>
          <w:lang w:val="sr-Cyrl-BA"/>
        </w:rPr>
        <w:t xml:space="preserve">асмани финансијских посредника у износу од </w:t>
      </w:r>
      <w:r w:rsidR="005F1070">
        <w:rPr>
          <w:rFonts w:asciiTheme="minorHAnsi" w:hAnsiTheme="minorHAnsi" w:cs="Times New Roman"/>
          <w:color w:val="auto"/>
          <w:sz w:val="20"/>
          <w:szCs w:val="20"/>
          <w:lang w:val="sr-Cyrl-BA"/>
        </w:rPr>
        <w:t>31.274.550</w:t>
      </w:r>
      <w:r w:rsidR="00585AD3">
        <w:rPr>
          <w:rFonts w:asciiTheme="minorHAnsi" w:hAnsiTheme="minorHAnsi" w:cs="Times New Roman"/>
          <w:color w:val="auto"/>
          <w:sz w:val="20"/>
          <w:szCs w:val="20"/>
          <w:lang w:val="sr-Cyrl-BA"/>
        </w:rPr>
        <w:t>,00 КМ</w:t>
      </w:r>
      <w:r>
        <w:rPr>
          <w:rFonts w:asciiTheme="minorHAnsi" w:hAnsiTheme="minorHAnsi" w:cs="Times New Roman"/>
          <w:color w:val="auto"/>
          <w:sz w:val="20"/>
          <w:szCs w:val="20"/>
          <w:lang w:val="sr-Cyrl-BA"/>
        </w:rPr>
        <w:t>.</w:t>
      </w:r>
      <w:r w:rsidR="00036827">
        <w:rPr>
          <w:rFonts w:asciiTheme="minorHAnsi" w:hAnsiTheme="minorHAnsi" w:cs="Times New Roman"/>
          <w:color w:val="auto"/>
          <w:sz w:val="20"/>
          <w:szCs w:val="20"/>
          <w:lang w:val="sr-Cyrl-BA"/>
        </w:rPr>
        <w:t xml:space="preserve"> </w:t>
      </w:r>
      <w:r w:rsidR="00585AD3">
        <w:rPr>
          <w:rFonts w:asciiTheme="minorHAnsi" w:hAnsiTheme="minorHAnsi" w:cs="Times New Roman"/>
          <w:color w:val="auto"/>
          <w:sz w:val="20"/>
          <w:szCs w:val="20"/>
          <w:lang w:val="sr-Cyrl-BA"/>
        </w:rPr>
        <w:t>Највећу активност током 202</w:t>
      </w:r>
      <w:r w:rsidR="005F1070">
        <w:rPr>
          <w:rFonts w:asciiTheme="minorHAnsi" w:hAnsiTheme="minorHAnsi" w:cs="Times New Roman"/>
          <w:color w:val="auto"/>
          <w:sz w:val="20"/>
          <w:szCs w:val="20"/>
          <w:lang w:val="sr-Cyrl-BA"/>
        </w:rPr>
        <w:t>4</w:t>
      </w:r>
      <w:r w:rsidR="00585AD3">
        <w:rPr>
          <w:rFonts w:asciiTheme="minorHAnsi" w:hAnsiTheme="minorHAnsi" w:cs="Times New Roman"/>
          <w:color w:val="auto"/>
          <w:sz w:val="20"/>
          <w:szCs w:val="20"/>
          <w:lang w:val="sr-Cyrl-BA"/>
        </w:rPr>
        <w:t>. године је имала PROCREDIT банка</w:t>
      </w:r>
      <w:r>
        <w:rPr>
          <w:rFonts w:asciiTheme="minorHAnsi" w:hAnsiTheme="minorHAnsi" w:cs="Times New Roman"/>
          <w:color w:val="auto"/>
          <w:sz w:val="20"/>
          <w:szCs w:val="20"/>
          <w:lang w:val="sr-Cyrl-BA"/>
        </w:rPr>
        <w:t>, која је пласирала</w:t>
      </w:r>
      <w:r w:rsidR="00585AD3">
        <w:rPr>
          <w:rFonts w:asciiTheme="minorHAnsi" w:hAnsiTheme="minorHAnsi" w:cs="Times New Roman"/>
          <w:color w:val="auto"/>
          <w:sz w:val="20"/>
          <w:szCs w:val="20"/>
          <w:lang w:val="sr-Cyrl-BA"/>
        </w:rPr>
        <w:t xml:space="preserve"> </w:t>
      </w:r>
      <w:r w:rsidR="005F1070">
        <w:rPr>
          <w:rFonts w:asciiTheme="minorHAnsi" w:hAnsiTheme="minorHAnsi" w:cs="Times New Roman"/>
          <w:color w:val="auto"/>
          <w:sz w:val="20"/>
          <w:szCs w:val="20"/>
          <w:lang w:val="sr-Cyrl-BA"/>
        </w:rPr>
        <w:t>57</w:t>
      </w:r>
      <w:r w:rsidR="00585AD3">
        <w:rPr>
          <w:rFonts w:asciiTheme="minorHAnsi" w:hAnsiTheme="minorHAnsi" w:cs="Times New Roman"/>
          <w:color w:val="auto"/>
          <w:sz w:val="20"/>
          <w:szCs w:val="20"/>
          <w:lang w:val="sr-Cyrl-BA"/>
        </w:rPr>
        <w:t xml:space="preserve"> кредит</w:t>
      </w:r>
      <w:r w:rsidR="005F1070">
        <w:rPr>
          <w:rFonts w:asciiTheme="minorHAnsi" w:hAnsiTheme="minorHAnsi" w:cs="Times New Roman"/>
          <w:color w:val="auto"/>
          <w:sz w:val="20"/>
          <w:szCs w:val="20"/>
          <w:lang w:val="sr-Cyrl-BA"/>
        </w:rPr>
        <w:t>а</w:t>
      </w:r>
      <w:r w:rsidR="00585AD3">
        <w:rPr>
          <w:rFonts w:asciiTheme="minorHAnsi" w:hAnsiTheme="minorHAnsi" w:cs="Times New Roman"/>
          <w:color w:val="auto"/>
          <w:sz w:val="20"/>
          <w:szCs w:val="20"/>
          <w:lang w:val="sr-Cyrl-BA"/>
        </w:rPr>
        <w:t xml:space="preserve"> у износу од </w:t>
      </w:r>
      <w:r w:rsidR="005F1070">
        <w:rPr>
          <w:rFonts w:asciiTheme="minorHAnsi" w:hAnsiTheme="minorHAnsi" w:cs="Times New Roman"/>
          <w:color w:val="auto"/>
          <w:sz w:val="20"/>
          <w:szCs w:val="20"/>
          <w:lang w:val="sr-Cyrl-BA"/>
        </w:rPr>
        <w:t>16.233.000,00</w:t>
      </w:r>
      <w:r w:rsidR="00585AD3">
        <w:rPr>
          <w:rFonts w:asciiTheme="minorHAnsi" w:hAnsiTheme="minorHAnsi" w:cs="Times New Roman"/>
          <w:color w:val="auto"/>
          <w:sz w:val="20"/>
          <w:szCs w:val="20"/>
          <w:lang w:val="sr-Cyrl-BA"/>
        </w:rPr>
        <w:t xml:space="preserve"> КМ, уз гаранци</w:t>
      </w:r>
      <w:r w:rsidR="00210D8B">
        <w:rPr>
          <w:rFonts w:asciiTheme="minorHAnsi" w:hAnsiTheme="minorHAnsi" w:cs="Times New Roman"/>
          <w:color w:val="auto"/>
          <w:sz w:val="20"/>
          <w:szCs w:val="20"/>
          <w:lang w:val="sr-Cyrl-BA"/>
        </w:rPr>
        <w:t xml:space="preserve">је у износу од </w:t>
      </w:r>
      <w:r w:rsidR="005F1070" w:rsidRPr="00FF3A7D">
        <w:rPr>
          <w:rFonts w:asciiTheme="minorHAnsi" w:hAnsiTheme="minorHAnsi" w:cs="Times New Roman"/>
          <w:b/>
          <w:color w:val="auto"/>
          <w:sz w:val="20"/>
          <w:szCs w:val="20"/>
          <w:lang w:val="sr-Cyrl-BA"/>
        </w:rPr>
        <w:t xml:space="preserve">8.116.500,00 </w:t>
      </w:r>
      <w:r w:rsidR="00210D8B" w:rsidRPr="00FF3A7D">
        <w:rPr>
          <w:rFonts w:asciiTheme="minorHAnsi" w:hAnsiTheme="minorHAnsi" w:cs="Times New Roman"/>
          <w:b/>
          <w:color w:val="auto"/>
          <w:sz w:val="20"/>
          <w:szCs w:val="20"/>
          <w:lang w:val="sr-Cyrl-BA"/>
        </w:rPr>
        <w:t>КМ</w:t>
      </w:r>
      <w:r w:rsidR="00210D8B">
        <w:rPr>
          <w:rFonts w:asciiTheme="minorHAnsi" w:hAnsiTheme="minorHAnsi" w:cs="Times New Roman"/>
          <w:color w:val="auto"/>
          <w:sz w:val="20"/>
          <w:szCs w:val="20"/>
          <w:lang w:val="sr-Cyrl-BA"/>
        </w:rPr>
        <w:t>. У ок</w:t>
      </w:r>
      <w:r w:rsidR="005F1070">
        <w:rPr>
          <w:rFonts w:asciiTheme="minorHAnsi" w:hAnsiTheme="minorHAnsi" w:cs="Times New Roman"/>
          <w:color w:val="auto"/>
          <w:sz w:val="20"/>
          <w:szCs w:val="20"/>
          <w:lang w:val="sr-Cyrl-BA"/>
        </w:rPr>
        <w:t>виру општег портфеља је издана</w:t>
      </w:r>
      <w:r w:rsidR="00210D8B">
        <w:rPr>
          <w:rFonts w:asciiTheme="minorHAnsi" w:hAnsiTheme="minorHAnsi" w:cs="Times New Roman"/>
          <w:color w:val="auto"/>
          <w:sz w:val="20"/>
          <w:szCs w:val="20"/>
          <w:lang w:val="sr-Cyrl-BA"/>
        </w:rPr>
        <w:t xml:space="preserve"> </w:t>
      </w:r>
      <w:r w:rsidR="005F1070">
        <w:rPr>
          <w:rFonts w:asciiTheme="minorHAnsi" w:hAnsiTheme="minorHAnsi" w:cs="Times New Roman"/>
          <w:color w:val="auto"/>
          <w:sz w:val="20"/>
          <w:szCs w:val="20"/>
          <w:lang w:val="sr-Cyrl-BA"/>
        </w:rPr>
        <w:t>41</w:t>
      </w:r>
      <w:r w:rsidR="00210D8B">
        <w:rPr>
          <w:rFonts w:asciiTheme="minorHAnsi" w:hAnsiTheme="minorHAnsi" w:cs="Times New Roman"/>
          <w:color w:val="auto"/>
          <w:sz w:val="20"/>
          <w:szCs w:val="20"/>
          <w:lang w:val="sr-Cyrl-BA"/>
        </w:rPr>
        <w:t xml:space="preserve"> </w:t>
      </w:r>
      <w:r w:rsidR="005F1070">
        <w:rPr>
          <w:rFonts w:asciiTheme="minorHAnsi" w:hAnsiTheme="minorHAnsi" w:cs="Times New Roman"/>
          <w:color w:val="auto"/>
          <w:sz w:val="20"/>
          <w:szCs w:val="20"/>
          <w:lang w:val="sr-Cyrl-BA"/>
        </w:rPr>
        <w:t xml:space="preserve">гаранција </w:t>
      </w:r>
      <w:r w:rsidR="00210D8B">
        <w:rPr>
          <w:rFonts w:asciiTheme="minorHAnsi" w:hAnsiTheme="minorHAnsi" w:cs="Times New Roman"/>
          <w:color w:val="auto"/>
          <w:sz w:val="20"/>
          <w:szCs w:val="20"/>
          <w:lang w:val="sr-Cyrl-BA"/>
        </w:rPr>
        <w:t xml:space="preserve">у износу од </w:t>
      </w:r>
      <w:r w:rsidR="005F1070">
        <w:rPr>
          <w:rFonts w:asciiTheme="minorHAnsi" w:hAnsiTheme="minorHAnsi" w:cs="Times New Roman"/>
          <w:color w:val="auto"/>
          <w:sz w:val="20"/>
          <w:szCs w:val="20"/>
          <w:lang w:val="sr-Cyrl-BA"/>
        </w:rPr>
        <w:t>4.780.000,00</w:t>
      </w:r>
      <w:r w:rsidR="00210D8B">
        <w:rPr>
          <w:rFonts w:asciiTheme="minorHAnsi" w:hAnsiTheme="minorHAnsi" w:cs="Times New Roman"/>
          <w:color w:val="auto"/>
          <w:sz w:val="20"/>
          <w:szCs w:val="20"/>
          <w:lang w:val="sr-Cyrl-BA"/>
        </w:rPr>
        <w:t xml:space="preserve"> КМ, док је у оквиру портфеља за обновљиве изворе енергије пласирано </w:t>
      </w:r>
      <w:r w:rsidR="00593546">
        <w:rPr>
          <w:rFonts w:asciiTheme="minorHAnsi" w:hAnsiTheme="minorHAnsi" w:cs="Times New Roman"/>
          <w:color w:val="auto"/>
          <w:sz w:val="20"/>
          <w:szCs w:val="20"/>
          <w:lang w:val="sr-Cyrl-BA"/>
        </w:rPr>
        <w:t>1</w:t>
      </w:r>
      <w:r w:rsidR="00210D8B">
        <w:rPr>
          <w:rFonts w:asciiTheme="minorHAnsi" w:hAnsiTheme="minorHAnsi" w:cs="Times New Roman"/>
          <w:color w:val="auto"/>
          <w:sz w:val="20"/>
          <w:szCs w:val="20"/>
          <w:lang w:val="sr-Cyrl-BA"/>
        </w:rPr>
        <w:t xml:space="preserve">6 </w:t>
      </w:r>
      <w:r w:rsidR="005F1070">
        <w:rPr>
          <w:rFonts w:asciiTheme="minorHAnsi" w:hAnsiTheme="minorHAnsi" w:cs="Times New Roman"/>
          <w:color w:val="auto"/>
          <w:sz w:val="20"/>
          <w:szCs w:val="20"/>
          <w:lang w:val="sr-Cyrl-BA"/>
        </w:rPr>
        <w:t xml:space="preserve">гаранција </w:t>
      </w:r>
      <w:r w:rsidR="00210D8B">
        <w:rPr>
          <w:rFonts w:asciiTheme="minorHAnsi" w:hAnsiTheme="minorHAnsi" w:cs="Times New Roman"/>
          <w:color w:val="auto"/>
          <w:sz w:val="20"/>
          <w:szCs w:val="20"/>
          <w:lang w:val="sr-Cyrl-BA"/>
        </w:rPr>
        <w:t xml:space="preserve"> у износу од </w:t>
      </w:r>
      <w:r w:rsidR="005F1070" w:rsidRPr="005F1070">
        <w:rPr>
          <w:rFonts w:asciiTheme="minorHAnsi" w:hAnsiTheme="minorHAnsi" w:cs="Times New Roman"/>
          <w:color w:val="auto"/>
          <w:sz w:val="20"/>
          <w:szCs w:val="20"/>
          <w:lang w:val="sr-Cyrl-BA"/>
        </w:rPr>
        <w:t>3.336.500,00</w:t>
      </w:r>
      <w:r w:rsidR="005F1070">
        <w:rPr>
          <w:rFonts w:asciiTheme="minorHAnsi" w:hAnsiTheme="minorHAnsi" w:cs="Times New Roman"/>
          <w:color w:val="auto"/>
          <w:sz w:val="20"/>
          <w:szCs w:val="20"/>
          <w:lang w:val="sr-Cyrl-BA"/>
        </w:rPr>
        <w:t xml:space="preserve"> </w:t>
      </w:r>
      <w:r w:rsidR="00210D8B">
        <w:rPr>
          <w:rFonts w:asciiTheme="minorHAnsi" w:hAnsiTheme="minorHAnsi" w:cs="Times New Roman"/>
          <w:color w:val="auto"/>
          <w:sz w:val="20"/>
          <w:szCs w:val="20"/>
          <w:lang w:val="sr-Cyrl-BA"/>
        </w:rPr>
        <w:t xml:space="preserve">КМ. </w:t>
      </w:r>
      <w:r>
        <w:rPr>
          <w:rFonts w:asciiTheme="minorHAnsi" w:hAnsiTheme="minorHAnsi" w:cs="Times New Roman"/>
          <w:color w:val="auto"/>
          <w:sz w:val="20"/>
          <w:szCs w:val="20"/>
          <w:lang w:val="sr-Cyrl-BA"/>
        </w:rPr>
        <w:t>Учешће ове банке у</w:t>
      </w:r>
      <w:r w:rsidR="00210D8B">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изданим гара</w:t>
      </w:r>
      <w:r w:rsidR="00D24503">
        <w:rPr>
          <w:rFonts w:asciiTheme="minorHAnsi" w:hAnsiTheme="minorHAnsi" w:cs="Times New Roman"/>
          <w:color w:val="auto"/>
          <w:sz w:val="20"/>
          <w:szCs w:val="20"/>
          <w:lang w:val="sr-Cyrl-BA"/>
        </w:rPr>
        <w:t>н</w:t>
      </w:r>
      <w:r>
        <w:rPr>
          <w:rFonts w:asciiTheme="minorHAnsi" w:hAnsiTheme="minorHAnsi" w:cs="Times New Roman"/>
          <w:color w:val="auto"/>
          <w:sz w:val="20"/>
          <w:szCs w:val="20"/>
          <w:lang w:val="sr-Cyrl-BA"/>
        </w:rPr>
        <w:t>ц</w:t>
      </w:r>
      <w:r w:rsidR="00D24503">
        <w:rPr>
          <w:rFonts w:asciiTheme="minorHAnsi" w:hAnsiTheme="minorHAnsi" w:cs="Times New Roman"/>
          <w:color w:val="auto"/>
          <w:sz w:val="20"/>
          <w:szCs w:val="20"/>
          <w:lang w:val="sr-Cyrl-BA"/>
        </w:rPr>
        <w:t xml:space="preserve">ијама </w:t>
      </w:r>
      <w:r w:rsidR="00E04851">
        <w:rPr>
          <w:rFonts w:asciiTheme="minorHAnsi" w:hAnsiTheme="minorHAnsi" w:cs="Times New Roman"/>
          <w:color w:val="auto"/>
          <w:sz w:val="20"/>
          <w:szCs w:val="20"/>
          <w:lang w:val="sr-Cyrl-BA"/>
        </w:rPr>
        <w:t xml:space="preserve">у оквиру кредитног портфеља </w:t>
      </w:r>
      <w:r w:rsidR="00D24503">
        <w:rPr>
          <w:rFonts w:asciiTheme="minorHAnsi" w:hAnsiTheme="minorHAnsi" w:cs="Times New Roman"/>
          <w:color w:val="auto"/>
          <w:sz w:val="20"/>
          <w:szCs w:val="20"/>
          <w:lang w:val="sr-Cyrl-BA"/>
        </w:rPr>
        <w:t>током 202</w:t>
      </w:r>
      <w:r w:rsidR="005F1070">
        <w:rPr>
          <w:rFonts w:asciiTheme="minorHAnsi" w:hAnsiTheme="minorHAnsi" w:cs="Times New Roman"/>
          <w:color w:val="auto"/>
          <w:sz w:val="20"/>
          <w:szCs w:val="20"/>
          <w:lang w:val="sr-Cyrl-BA"/>
        </w:rPr>
        <w:t>4</w:t>
      </w:r>
      <w:r w:rsidR="00D24503">
        <w:rPr>
          <w:rFonts w:asciiTheme="minorHAnsi" w:hAnsiTheme="minorHAnsi" w:cs="Times New Roman"/>
          <w:color w:val="auto"/>
          <w:sz w:val="20"/>
          <w:szCs w:val="20"/>
          <w:lang w:val="sr-Cyrl-BA"/>
        </w:rPr>
        <w:t xml:space="preserve">. године је </w:t>
      </w:r>
      <w:r w:rsidR="005F1070">
        <w:rPr>
          <w:rFonts w:asciiTheme="minorHAnsi" w:hAnsiTheme="minorHAnsi" w:cs="Times New Roman"/>
          <w:color w:val="auto"/>
          <w:sz w:val="20"/>
          <w:szCs w:val="20"/>
          <w:lang w:val="sr-Cyrl-BA"/>
        </w:rPr>
        <w:t>51,90</w:t>
      </w:r>
      <w:r w:rsidR="00D24503">
        <w:rPr>
          <w:rFonts w:asciiTheme="minorHAnsi" w:hAnsiTheme="minorHAnsi" w:cs="Times New Roman"/>
          <w:color w:val="auto"/>
          <w:sz w:val="20"/>
          <w:szCs w:val="20"/>
          <w:lang w:val="sr-Cyrl-BA"/>
        </w:rPr>
        <w:t xml:space="preserve">%. </w:t>
      </w:r>
      <w:r w:rsidR="00444161">
        <w:rPr>
          <w:rFonts w:asciiTheme="minorHAnsi" w:hAnsiTheme="minorHAnsi" w:cs="Times New Roman"/>
          <w:color w:val="auto"/>
          <w:sz w:val="20"/>
          <w:szCs w:val="20"/>
          <w:lang w:val="sr-Cyrl-BA"/>
        </w:rPr>
        <w:t xml:space="preserve"> </w:t>
      </w:r>
      <w:r w:rsidR="00E04851" w:rsidRPr="00D24503">
        <w:rPr>
          <w:rFonts w:asciiTheme="minorHAnsi" w:hAnsiTheme="minorHAnsi" w:cs="Times New Roman"/>
          <w:color w:val="auto"/>
          <w:sz w:val="20"/>
          <w:szCs w:val="20"/>
          <w:lang w:val="sr-Cyrl-BA"/>
        </w:rPr>
        <w:t xml:space="preserve">UNICREDIT </w:t>
      </w:r>
      <w:r w:rsidR="00E04851">
        <w:rPr>
          <w:rFonts w:asciiTheme="minorHAnsi" w:hAnsiTheme="minorHAnsi" w:cs="Times New Roman"/>
          <w:color w:val="auto"/>
          <w:sz w:val="20"/>
          <w:szCs w:val="20"/>
          <w:lang w:val="sr-Cyrl-BA"/>
        </w:rPr>
        <w:t xml:space="preserve">банка се налази на другом мјесту и има учешће од 37,76% у изданим гаранцијама током 2024. године. Ова банка је </w:t>
      </w:r>
      <w:r w:rsidR="00FF3A7D">
        <w:rPr>
          <w:rFonts w:asciiTheme="minorHAnsi" w:hAnsiTheme="minorHAnsi" w:cs="Times New Roman"/>
          <w:color w:val="auto"/>
          <w:sz w:val="20"/>
          <w:szCs w:val="20"/>
          <w:lang w:val="sr-Cyrl-BA"/>
        </w:rPr>
        <w:t xml:space="preserve">током године </w:t>
      </w:r>
      <w:r w:rsidR="00E04851">
        <w:rPr>
          <w:rFonts w:asciiTheme="minorHAnsi" w:hAnsiTheme="minorHAnsi" w:cs="Times New Roman"/>
          <w:color w:val="auto"/>
          <w:sz w:val="20"/>
          <w:szCs w:val="20"/>
          <w:lang w:val="sr-Cyrl-BA"/>
        </w:rPr>
        <w:t>пласирала</w:t>
      </w:r>
      <w:r w:rsidR="00FF3A7D">
        <w:rPr>
          <w:rFonts w:asciiTheme="minorHAnsi" w:hAnsiTheme="minorHAnsi" w:cs="Times New Roman"/>
          <w:color w:val="auto"/>
          <w:sz w:val="20"/>
          <w:szCs w:val="20"/>
          <w:lang w:val="sr-Cyrl-BA"/>
        </w:rPr>
        <w:t xml:space="preserve"> 30 кредита у износу од </w:t>
      </w:r>
      <w:r w:rsidR="00FF3A7D" w:rsidRPr="00FF3A7D">
        <w:rPr>
          <w:rFonts w:asciiTheme="minorHAnsi" w:hAnsiTheme="minorHAnsi" w:cs="Times New Roman"/>
          <w:color w:val="auto"/>
          <w:sz w:val="20"/>
          <w:szCs w:val="20"/>
          <w:lang w:val="sr-Cyrl-BA"/>
        </w:rPr>
        <w:t>11.808.550,00</w:t>
      </w:r>
      <w:r w:rsidR="00FF3A7D">
        <w:rPr>
          <w:rFonts w:asciiTheme="minorHAnsi" w:hAnsiTheme="minorHAnsi" w:cs="Times New Roman"/>
          <w:color w:val="auto"/>
          <w:sz w:val="20"/>
          <w:szCs w:val="20"/>
          <w:lang w:val="sr-Cyrl-BA"/>
        </w:rPr>
        <w:t xml:space="preserve"> КМ</w:t>
      </w:r>
      <w:r w:rsidR="00E04851">
        <w:rPr>
          <w:rFonts w:asciiTheme="minorHAnsi" w:hAnsiTheme="minorHAnsi" w:cs="Times New Roman"/>
          <w:color w:val="auto"/>
          <w:sz w:val="20"/>
          <w:szCs w:val="20"/>
          <w:lang w:val="sr-Cyrl-BA"/>
        </w:rPr>
        <w:t>,</w:t>
      </w:r>
      <w:r w:rsidR="00FF3A7D">
        <w:rPr>
          <w:rFonts w:asciiTheme="minorHAnsi" w:hAnsiTheme="minorHAnsi" w:cs="Times New Roman"/>
          <w:color w:val="auto"/>
          <w:sz w:val="20"/>
          <w:szCs w:val="20"/>
          <w:lang w:val="sr-Cyrl-BA"/>
        </w:rPr>
        <w:t xml:space="preserve"> од чега се 10.016.000,00 КМ односи 25 кредита у оквиру општег портфеља, а преосталих </w:t>
      </w:r>
      <w:r w:rsidR="00FF3A7D" w:rsidRPr="00FF3A7D">
        <w:rPr>
          <w:rFonts w:asciiTheme="minorHAnsi" w:hAnsiTheme="minorHAnsi" w:cs="Times New Roman"/>
          <w:color w:val="auto"/>
          <w:sz w:val="20"/>
          <w:szCs w:val="20"/>
          <w:lang w:val="sr-Cyrl-BA"/>
        </w:rPr>
        <w:t>1.792.550,00</w:t>
      </w:r>
      <w:r w:rsidR="00FF3A7D">
        <w:rPr>
          <w:rFonts w:asciiTheme="minorHAnsi" w:hAnsiTheme="minorHAnsi" w:cs="Times New Roman"/>
          <w:color w:val="auto"/>
          <w:sz w:val="20"/>
          <w:szCs w:val="20"/>
          <w:lang w:val="sr-Cyrl-BA"/>
        </w:rPr>
        <w:t xml:space="preserve"> КМ на 5 кредита у оквиру портфеља за енергетску ефикасност. Износ гаранција пласираних током 2024. године у корист ове банке је </w:t>
      </w:r>
      <w:r w:rsidR="00FF3A7D" w:rsidRPr="00FF3A7D">
        <w:rPr>
          <w:rFonts w:asciiTheme="minorHAnsi" w:hAnsiTheme="minorHAnsi" w:cs="Times New Roman"/>
          <w:b/>
          <w:color w:val="auto"/>
          <w:sz w:val="20"/>
          <w:szCs w:val="20"/>
          <w:lang w:val="sr-Cyrl-BA"/>
        </w:rPr>
        <w:t>5.904.275,00 КМ.</w:t>
      </w:r>
    </w:p>
    <w:p w:rsidR="00210D8B" w:rsidRDefault="00210D8B" w:rsidP="00585AD3">
      <w:pPr>
        <w:pStyle w:val="Default"/>
        <w:jc w:val="both"/>
        <w:rPr>
          <w:rFonts w:asciiTheme="minorHAnsi" w:hAnsiTheme="minorHAnsi" w:cs="Times New Roman"/>
          <w:color w:val="auto"/>
          <w:sz w:val="20"/>
          <w:szCs w:val="20"/>
          <w:lang w:val="sr-Cyrl-BA"/>
        </w:rPr>
      </w:pPr>
    </w:p>
    <w:p w:rsidR="00FF3A7D" w:rsidRDefault="00D24503" w:rsidP="00FF3A7D">
      <w:pPr>
        <w:pStyle w:val="Default"/>
        <w:jc w:val="both"/>
        <w:rPr>
          <w:rFonts w:asciiTheme="minorHAnsi" w:hAnsiTheme="minorHAnsi" w:cs="Times New Roman"/>
          <w:color w:val="auto"/>
          <w:sz w:val="20"/>
          <w:szCs w:val="20"/>
          <w:lang w:val="sr-Cyrl-BA"/>
        </w:rPr>
      </w:pPr>
      <w:r w:rsidRPr="00D24503">
        <w:rPr>
          <w:rFonts w:asciiTheme="minorHAnsi" w:hAnsiTheme="minorHAnsi" w:cs="Times New Roman"/>
          <w:color w:val="auto"/>
          <w:sz w:val="20"/>
          <w:szCs w:val="20"/>
          <w:lang w:val="sr-Cyrl-BA"/>
        </w:rPr>
        <w:t>SPARKASSE</w:t>
      </w:r>
      <w:r>
        <w:rPr>
          <w:rFonts w:asciiTheme="minorHAnsi" w:hAnsiTheme="minorHAnsi" w:cs="Times New Roman"/>
          <w:color w:val="auto"/>
          <w:sz w:val="20"/>
          <w:szCs w:val="20"/>
          <w:lang w:val="sr-Cyrl-BA"/>
        </w:rPr>
        <w:t xml:space="preserve"> банка </w:t>
      </w:r>
      <w:r w:rsidR="00FF3A7D">
        <w:rPr>
          <w:rFonts w:asciiTheme="minorHAnsi" w:hAnsiTheme="minorHAnsi" w:cs="Times New Roman"/>
          <w:color w:val="auto"/>
          <w:sz w:val="20"/>
          <w:szCs w:val="20"/>
          <w:lang w:val="sr-Cyrl-BA"/>
        </w:rPr>
        <w:t xml:space="preserve">је током 2024. године пласирала 10 кредита у износу од </w:t>
      </w:r>
      <w:r w:rsidR="00FF3A7D" w:rsidRPr="00FF3A7D">
        <w:rPr>
          <w:rFonts w:asciiTheme="minorHAnsi" w:hAnsiTheme="minorHAnsi" w:cs="Times New Roman"/>
          <w:color w:val="auto"/>
          <w:sz w:val="20"/>
          <w:szCs w:val="20"/>
          <w:lang w:val="sr-Cyrl-BA"/>
        </w:rPr>
        <w:t>3.123.000,00</w:t>
      </w:r>
      <w:r w:rsidR="00FF3A7D">
        <w:rPr>
          <w:rFonts w:asciiTheme="minorHAnsi" w:hAnsiTheme="minorHAnsi" w:cs="Times New Roman"/>
          <w:color w:val="auto"/>
          <w:sz w:val="20"/>
          <w:szCs w:val="20"/>
          <w:lang w:val="sr-Cyrl-BA"/>
        </w:rPr>
        <w:t xml:space="preserve"> КМ, односно трећину уговореног износа. Гаранције издане у корист ове банке износе </w:t>
      </w:r>
      <w:r w:rsidR="00FF3A7D" w:rsidRPr="00FF3A7D">
        <w:rPr>
          <w:rFonts w:asciiTheme="minorHAnsi" w:hAnsiTheme="minorHAnsi" w:cs="Times New Roman"/>
          <w:b/>
          <w:color w:val="auto"/>
          <w:sz w:val="20"/>
          <w:szCs w:val="20"/>
          <w:lang w:val="sr-Cyrl-BA"/>
        </w:rPr>
        <w:t xml:space="preserve">1.561.500,00 КМ </w:t>
      </w:r>
      <w:r w:rsidR="00FF3A7D">
        <w:rPr>
          <w:rFonts w:asciiTheme="minorHAnsi" w:hAnsiTheme="minorHAnsi" w:cs="Times New Roman"/>
          <w:color w:val="auto"/>
          <w:sz w:val="20"/>
          <w:szCs w:val="20"/>
          <w:lang w:val="sr-Cyrl-BA"/>
        </w:rPr>
        <w:t xml:space="preserve">и чине 9,99% укупно изданих гаранција у 2024. години. МКД Таурус је пласирао два кредита у износу од 65.000,00 КМ, уз гаранције у износу од </w:t>
      </w:r>
      <w:r w:rsidR="00FF3A7D" w:rsidRPr="00AB1552">
        <w:rPr>
          <w:rFonts w:asciiTheme="minorHAnsi" w:hAnsiTheme="minorHAnsi" w:cs="Times New Roman"/>
          <w:b/>
          <w:color w:val="auto"/>
          <w:sz w:val="20"/>
          <w:szCs w:val="20"/>
          <w:lang w:val="sr-Cyrl-BA"/>
        </w:rPr>
        <w:t>32.500,00 КМ</w:t>
      </w:r>
      <w:r w:rsidR="00FF3A7D">
        <w:rPr>
          <w:rFonts w:asciiTheme="minorHAnsi" w:hAnsiTheme="minorHAnsi" w:cs="Times New Roman"/>
          <w:color w:val="auto"/>
          <w:sz w:val="20"/>
          <w:szCs w:val="20"/>
          <w:lang w:val="sr-Cyrl-BA"/>
        </w:rPr>
        <w:t>, док је у оквиру трипаритетног портфеља са Прокр</w:t>
      </w:r>
      <w:r w:rsidR="00AB1552">
        <w:rPr>
          <w:rFonts w:asciiTheme="minorHAnsi" w:hAnsiTheme="minorHAnsi" w:cs="Times New Roman"/>
          <w:color w:val="auto"/>
          <w:sz w:val="20"/>
          <w:szCs w:val="20"/>
          <w:lang w:val="sr-Cyrl-BA"/>
        </w:rPr>
        <w:t>едит банком и Фондацијом за разв</w:t>
      </w:r>
      <w:r w:rsidR="00FF3A7D">
        <w:rPr>
          <w:rFonts w:asciiTheme="minorHAnsi" w:hAnsiTheme="minorHAnsi" w:cs="Times New Roman"/>
          <w:color w:val="auto"/>
          <w:sz w:val="20"/>
          <w:szCs w:val="20"/>
          <w:lang w:val="sr-Cyrl-BA"/>
        </w:rPr>
        <w:t xml:space="preserve">ој града Приједора пласиран један кредит у износу од </w:t>
      </w:r>
      <w:r w:rsidR="00AB1552">
        <w:rPr>
          <w:rFonts w:asciiTheme="minorHAnsi" w:hAnsiTheme="minorHAnsi" w:cs="Times New Roman"/>
          <w:color w:val="auto"/>
          <w:sz w:val="20"/>
          <w:szCs w:val="20"/>
          <w:lang w:val="sr-Cyrl-BA"/>
        </w:rPr>
        <w:t xml:space="preserve">45.000,00 КМ, односна једна гаранција у износу од </w:t>
      </w:r>
      <w:r w:rsidR="00AB1552" w:rsidRPr="00AB1552">
        <w:rPr>
          <w:rFonts w:asciiTheme="minorHAnsi" w:hAnsiTheme="minorHAnsi" w:cs="Times New Roman"/>
          <w:b/>
          <w:color w:val="auto"/>
          <w:sz w:val="20"/>
          <w:szCs w:val="20"/>
          <w:lang w:val="sr-Cyrl-BA"/>
        </w:rPr>
        <w:t>22.500,00 КМ</w:t>
      </w:r>
      <w:r w:rsidR="00AB1552">
        <w:rPr>
          <w:rFonts w:asciiTheme="minorHAnsi" w:hAnsiTheme="minorHAnsi" w:cs="Times New Roman"/>
          <w:color w:val="auto"/>
          <w:sz w:val="20"/>
          <w:szCs w:val="20"/>
          <w:lang w:val="sr-Cyrl-BA"/>
        </w:rPr>
        <w:t>. Два наведена портфеља су уговорена у фебруару, односно у јуну 2024. године, што може бити један од узрока недовољне активности у погледу пласирања средстава.</w:t>
      </w:r>
      <w:r w:rsidR="00593546">
        <w:rPr>
          <w:rFonts w:asciiTheme="minorHAnsi" w:hAnsiTheme="minorHAnsi" w:cs="Times New Roman"/>
          <w:color w:val="auto"/>
          <w:sz w:val="20"/>
          <w:szCs w:val="20"/>
          <w:lang w:val="sr-Cyrl-BA"/>
        </w:rPr>
        <w:t xml:space="preserve"> </w:t>
      </w:r>
      <w:r w:rsidR="00AB1552">
        <w:rPr>
          <w:rFonts w:asciiTheme="minorHAnsi" w:hAnsiTheme="minorHAnsi" w:cs="Times New Roman"/>
          <w:color w:val="auto"/>
          <w:sz w:val="20"/>
          <w:szCs w:val="20"/>
          <w:lang w:val="sr-Cyrl-BA"/>
        </w:rPr>
        <w:t xml:space="preserve">Нова и МФ банка </w:t>
      </w:r>
      <w:r w:rsidR="00FF3A7D">
        <w:rPr>
          <w:rFonts w:asciiTheme="minorHAnsi" w:hAnsiTheme="minorHAnsi" w:cs="Times New Roman"/>
          <w:color w:val="auto"/>
          <w:sz w:val="20"/>
          <w:szCs w:val="20"/>
          <w:lang w:val="sr-Cyrl-BA"/>
        </w:rPr>
        <w:t xml:space="preserve">нису имале кредитну активност у оквиру </w:t>
      </w:r>
      <w:r w:rsidR="00AB1552">
        <w:rPr>
          <w:rFonts w:asciiTheme="minorHAnsi" w:hAnsiTheme="minorHAnsi" w:cs="Times New Roman"/>
          <w:color w:val="auto"/>
          <w:sz w:val="20"/>
          <w:szCs w:val="20"/>
          <w:lang w:val="sr-Cyrl-BA"/>
        </w:rPr>
        <w:t xml:space="preserve">кредитног </w:t>
      </w:r>
      <w:r w:rsidR="00FF3A7D">
        <w:rPr>
          <w:rFonts w:asciiTheme="minorHAnsi" w:hAnsiTheme="minorHAnsi" w:cs="Times New Roman"/>
          <w:color w:val="auto"/>
          <w:sz w:val="20"/>
          <w:szCs w:val="20"/>
          <w:lang w:val="sr-Cyrl-BA"/>
        </w:rPr>
        <w:t>по</w:t>
      </w:r>
      <w:r w:rsidR="00AB1552">
        <w:rPr>
          <w:rFonts w:asciiTheme="minorHAnsi" w:hAnsiTheme="minorHAnsi" w:cs="Times New Roman"/>
          <w:color w:val="auto"/>
          <w:sz w:val="20"/>
          <w:szCs w:val="20"/>
          <w:lang w:val="sr-Cyrl-BA"/>
        </w:rPr>
        <w:t>ртфеља током 2024. године.</w:t>
      </w:r>
      <w:r w:rsidR="00FF3A7D">
        <w:rPr>
          <w:rFonts w:asciiTheme="minorHAnsi" w:hAnsiTheme="minorHAnsi" w:cs="Times New Roman"/>
          <w:color w:val="auto"/>
          <w:sz w:val="20"/>
          <w:szCs w:val="20"/>
          <w:lang w:val="sr-Cyrl-BA"/>
        </w:rPr>
        <w:t xml:space="preserve"> </w:t>
      </w:r>
    </w:p>
    <w:p w:rsidR="009342FB" w:rsidRPr="005767EF" w:rsidRDefault="009342FB" w:rsidP="009342FB">
      <w:pPr>
        <w:pStyle w:val="Default"/>
        <w:jc w:val="both"/>
        <w:rPr>
          <w:rFonts w:asciiTheme="minorHAnsi" w:hAnsiTheme="minorHAnsi" w:cs="Times New Roman"/>
          <w:color w:val="auto"/>
          <w:sz w:val="20"/>
          <w:szCs w:val="20"/>
          <w:lang w:val="sr-Cyrl-BA"/>
        </w:rPr>
      </w:pPr>
    </w:p>
    <w:p w:rsidR="001538EF" w:rsidRPr="00444161" w:rsidRDefault="001538EF" w:rsidP="00444161">
      <w:pPr>
        <w:jc w:val="center"/>
        <w:rPr>
          <w:rFonts w:asciiTheme="minorHAnsi" w:hAnsiTheme="minorHAnsi"/>
          <w:sz w:val="20"/>
          <w:szCs w:val="20"/>
        </w:rPr>
      </w:pPr>
      <w:r w:rsidRPr="005767EF">
        <w:rPr>
          <w:rFonts w:asciiTheme="minorHAnsi" w:hAnsiTheme="minorHAnsi"/>
          <w:b/>
          <w:bCs/>
          <w:sz w:val="20"/>
          <w:szCs w:val="20"/>
          <w:lang w:val="sr-Latn-RS" w:eastAsia="sr-Latn-RS"/>
        </w:rPr>
        <w:t xml:space="preserve">Преглед изданих гаранција </w:t>
      </w:r>
      <w:r w:rsidR="000704FD">
        <w:rPr>
          <w:rFonts w:asciiTheme="minorHAnsi" w:hAnsiTheme="minorHAnsi"/>
          <w:b/>
          <w:bCs/>
          <w:sz w:val="20"/>
          <w:szCs w:val="20"/>
          <w:lang w:val="sr-Cyrl-RS" w:eastAsia="sr-Latn-RS"/>
        </w:rPr>
        <w:t xml:space="preserve">у оквиру кредитног портфеља </w:t>
      </w:r>
      <w:r w:rsidRPr="005767EF">
        <w:rPr>
          <w:rFonts w:asciiTheme="minorHAnsi" w:hAnsiTheme="minorHAnsi"/>
          <w:b/>
          <w:bCs/>
          <w:sz w:val="20"/>
          <w:szCs w:val="20"/>
          <w:lang w:val="sr-Latn-RS" w:eastAsia="sr-Latn-RS"/>
        </w:rPr>
        <w:t xml:space="preserve">по дјелатностима  </w:t>
      </w:r>
      <w:r w:rsidR="000704FD">
        <w:rPr>
          <w:rFonts w:asciiTheme="minorHAnsi" w:hAnsiTheme="minorHAnsi"/>
          <w:b/>
          <w:bCs/>
          <w:sz w:val="20"/>
          <w:szCs w:val="20"/>
          <w:lang w:val="sr-Cyrl-RS" w:eastAsia="sr-Latn-RS"/>
        </w:rPr>
        <w:t xml:space="preserve">у </w:t>
      </w:r>
      <w:r w:rsidRPr="005767EF">
        <w:rPr>
          <w:rFonts w:asciiTheme="minorHAnsi" w:hAnsiTheme="minorHAnsi"/>
          <w:b/>
          <w:bCs/>
          <w:sz w:val="20"/>
          <w:szCs w:val="20"/>
          <w:lang w:val="sr-Latn-RS" w:eastAsia="sr-Latn-RS"/>
        </w:rPr>
        <w:t>период</w:t>
      </w:r>
      <w:r w:rsidR="000704FD">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01.01.202</w:t>
      </w:r>
      <w:r w:rsidR="00C71960">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 - 31.12.202</w:t>
      </w:r>
      <w:r w:rsidR="00C71960">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 xml:space="preserve">. године                        </w:t>
      </w:r>
      <w:r w:rsidR="009342FB">
        <w:rPr>
          <w:rFonts w:asciiTheme="minorHAnsi" w:hAnsiTheme="minorHAnsi"/>
          <w:b/>
          <w:bCs/>
          <w:sz w:val="20"/>
          <w:szCs w:val="20"/>
          <w:lang w:val="sr-Latn-RS" w:eastAsia="sr-Latn-RS"/>
        </w:rPr>
        <w:t xml:space="preserve">                              </w:t>
      </w:r>
    </w:p>
    <w:p w:rsidR="001538EF" w:rsidRPr="009342FB" w:rsidRDefault="001538EF" w:rsidP="009342FB">
      <w:pPr>
        <w:pStyle w:val="Default"/>
        <w:ind w:left="1416" w:hanging="1416"/>
        <w:jc w:val="both"/>
        <w:rPr>
          <w:rFonts w:asciiTheme="minorHAnsi" w:hAnsiTheme="minorHAnsi" w:cs="Times New Roman"/>
          <w:b/>
          <w:color w:val="auto"/>
          <w:sz w:val="20"/>
          <w:szCs w:val="20"/>
          <w:lang w:val="sr-Cyrl-BA"/>
        </w:rPr>
      </w:pP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t xml:space="preserve">       </w:t>
      </w:r>
      <w:r w:rsidR="009342FB">
        <w:rPr>
          <w:rFonts w:asciiTheme="minorHAnsi" w:hAnsiTheme="minorHAnsi" w:cs="Times New Roman"/>
          <w:color w:val="auto"/>
          <w:sz w:val="20"/>
          <w:szCs w:val="20"/>
          <w:lang w:val="sr-Cyrl-BA"/>
        </w:rPr>
        <w:t xml:space="preserve">          </w:t>
      </w:r>
      <w:r w:rsidRPr="005767EF">
        <w:rPr>
          <w:rFonts w:asciiTheme="minorHAnsi" w:hAnsiTheme="minorHAnsi" w:cs="Times New Roman"/>
          <w:color w:val="auto"/>
          <w:sz w:val="20"/>
          <w:szCs w:val="20"/>
          <w:lang w:val="sr-Cyrl-BA"/>
        </w:rPr>
        <w:t xml:space="preserve"> </w:t>
      </w:r>
      <w:r w:rsidR="0034546F">
        <w:rPr>
          <w:rFonts w:asciiTheme="minorHAnsi" w:hAnsiTheme="minorHAnsi" w:cs="Times New Roman"/>
          <w:b/>
          <w:color w:val="auto"/>
          <w:sz w:val="20"/>
          <w:szCs w:val="20"/>
          <w:lang w:val="sr-Cyrl-BA"/>
        </w:rPr>
        <w:t>Табела 6</w:t>
      </w:r>
    </w:p>
    <w:tbl>
      <w:tblPr>
        <w:tblW w:w="8804" w:type="dxa"/>
        <w:tblInd w:w="93" w:type="dxa"/>
        <w:tblLayout w:type="fixed"/>
        <w:tblLook w:val="04A0" w:firstRow="1" w:lastRow="0" w:firstColumn="1" w:lastColumn="0" w:noHBand="0" w:noVBand="1"/>
      </w:tblPr>
      <w:tblGrid>
        <w:gridCol w:w="4551"/>
        <w:gridCol w:w="851"/>
        <w:gridCol w:w="1276"/>
        <w:gridCol w:w="1275"/>
        <w:gridCol w:w="851"/>
      </w:tblGrid>
      <w:tr w:rsidR="00C71960" w:rsidRPr="001A0581" w:rsidTr="00C71960">
        <w:trPr>
          <w:trHeight w:val="825"/>
        </w:trPr>
        <w:tc>
          <w:tcPr>
            <w:tcW w:w="4551"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C71960" w:rsidRPr="001A0581" w:rsidRDefault="00C71960" w:rsidP="00C71960">
            <w:pPr>
              <w:jc w:val="center"/>
              <w:rPr>
                <w:rFonts w:ascii="Calibri" w:hAnsi="Calibri"/>
                <w:b/>
                <w:bCs/>
                <w:sz w:val="16"/>
                <w:szCs w:val="16"/>
              </w:rPr>
            </w:pPr>
            <w:r w:rsidRPr="001A0581">
              <w:rPr>
                <w:rFonts w:ascii="Calibri" w:hAnsi="Calibri"/>
                <w:b/>
                <w:bCs/>
                <w:sz w:val="16"/>
                <w:szCs w:val="16"/>
              </w:rPr>
              <w:t>Дјелатност</w:t>
            </w:r>
          </w:p>
        </w:tc>
        <w:tc>
          <w:tcPr>
            <w:tcW w:w="851" w:type="dxa"/>
            <w:tcBorders>
              <w:top w:val="single" w:sz="4" w:space="0" w:color="auto"/>
              <w:left w:val="nil"/>
              <w:bottom w:val="single" w:sz="4" w:space="0" w:color="auto"/>
              <w:right w:val="single" w:sz="4" w:space="0" w:color="auto"/>
            </w:tcBorders>
            <w:shd w:val="clear" w:color="000000" w:fill="8DB4E2"/>
            <w:vAlign w:val="center"/>
            <w:hideMark/>
          </w:tcPr>
          <w:p w:rsidR="00C71960" w:rsidRPr="001A0581" w:rsidRDefault="00C71960" w:rsidP="00C71960">
            <w:pPr>
              <w:ind w:right="-108"/>
              <w:jc w:val="center"/>
              <w:rPr>
                <w:rFonts w:ascii="Calibri" w:hAnsi="Calibri"/>
                <w:b/>
                <w:bCs/>
                <w:sz w:val="16"/>
                <w:szCs w:val="16"/>
              </w:rPr>
            </w:pPr>
            <w:r w:rsidRPr="001A0581">
              <w:rPr>
                <w:rFonts w:ascii="Calibri" w:hAnsi="Calibri"/>
                <w:b/>
                <w:bCs/>
                <w:sz w:val="16"/>
                <w:szCs w:val="16"/>
              </w:rPr>
              <w:t>Број кредита</w:t>
            </w:r>
          </w:p>
        </w:tc>
        <w:tc>
          <w:tcPr>
            <w:tcW w:w="1276" w:type="dxa"/>
            <w:tcBorders>
              <w:top w:val="single" w:sz="4" w:space="0" w:color="auto"/>
              <w:left w:val="nil"/>
              <w:bottom w:val="single" w:sz="4" w:space="0" w:color="auto"/>
              <w:right w:val="single" w:sz="4" w:space="0" w:color="auto"/>
            </w:tcBorders>
            <w:shd w:val="clear" w:color="000000" w:fill="8DB4E2"/>
            <w:vAlign w:val="center"/>
            <w:hideMark/>
          </w:tcPr>
          <w:p w:rsidR="00C71960" w:rsidRPr="001A0581" w:rsidRDefault="00C71960" w:rsidP="00C71960">
            <w:pPr>
              <w:jc w:val="center"/>
              <w:rPr>
                <w:rFonts w:ascii="Calibri" w:hAnsi="Calibri"/>
                <w:b/>
                <w:bCs/>
                <w:sz w:val="16"/>
                <w:szCs w:val="16"/>
              </w:rPr>
            </w:pPr>
            <w:r w:rsidRPr="001A0581">
              <w:rPr>
                <w:rFonts w:ascii="Calibri" w:hAnsi="Calibri"/>
                <w:b/>
                <w:bCs/>
                <w:sz w:val="16"/>
                <w:szCs w:val="16"/>
              </w:rPr>
              <w:t>Износ кредита</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C71960" w:rsidRPr="001A0581" w:rsidRDefault="00C71960" w:rsidP="00C71960">
            <w:pPr>
              <w:jc w:val="center"/>
              <w:rPr>
                <w:rFonts w:ascii="Calibri" w:hAnsi="Calibri"/>
                <w:b/>
                <w:bCs/>
                <w:sz w:val="16"/>
                <w:szCs w:val="16"/>
              </w:rPr>
            </w:pPr>
            <w:r w:rsidRPr="001A0581">
              <w:rPr>
                <w:rFonts w:ascii="Calibri" w:hAnsi="Calibri"/>
                <w:b/>
                <w:bCs/>
                <w:sz w:val="16"/>
                <w:szCs w:val="16"/>
              </w:rPr>
              <w:t>Износ гаранције</w:t>
            </w:r>
          </w:p>
        </w:tc>
        <w:tc>
          <w:tcPr>
            <w:tcW w:w="851" w:type="dxa"/>
            <w:tcBorders>
              <w:top w:val="single" w:sz="4" w:space="0" w:color="auto"/>
              <w:left w:val="nil"/>
              <w:bottom w:val="single" w:sz="4" w:space="0" w:color="auto"/>
              <w:right w:val="single" w:sz="4" w:space="0" w:color="auto"/>
            </w:tcBorders>
            <w:shd w:val="clear" w:color="000000" w:fill="8DB4E2"/>
            <w:vAlign w:val="center"/>
            <w:hideMark/>
          </w:tcPr>
          <w:p w:rsidR="00C71960" w:rsidRPr="001A0581" w:rsidRDefault="00C71960" w:rsidP="00C71960">
            <w:pPr>
              <w:ind w:right="-108"/>
              <w:jc w:val="center"/>
              <w:rPr>
                <w:rFonts w:ascii="Calibri" w:hAnsi="Calibri"/>
                <w:b/>
                <w:bCs/>
                <w:sz w:val="16"/>
                <w:szCs w:val="16"/>
              </w:rPr>
            </w:pPr>
            <w:r w:rsidRPr="001A0581">
              <w:rPr>
                <w:rFonts w:ascii="Calibri" w:hAnsi="Calibri"/>
                <w:b/>
                <w:bCs/>
                <w:sz w:val="16"/>
                <w:szCs w:val="16"/>
              </w:rPr>
              <w:t>Учешће у укупно изданим гаранцијама</w:t>
            </w:r>
          </w:p>
        </w:tc>
      </w:tr>
      <w:tr w:rsidR="00C71960" w:rsidRPr="001A0581" w:rsidTr="00C71960">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A – ПOЉОПРИВРЕДА, ШУМАРСТВО И РИБОЛОВ</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7</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753.000,00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376.500</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2,41%</w:t>
            </w:r>
          </w:p>
        </w:tc>
      </w:tr>
      <w:tr w:rsidR="00C71960" w:rsidRPr="001A0581" w:rsidTr="001A0581">
        <w:trPr>
          <w:trHeight w:val="219"/>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B – ВАЂЕЊЕ РУДА И КАМЕНА</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381.000,00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190.500</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1,22%</w:t>
            </w:r>
          </w:p>
        </w:tc>
      </w:tr>
      <w:tr w:rsidR="00C71960" w:rsidRPr="001A0581" w:rsidTr="001A0581">
        <w:trPr>
          <w:trHeight w:val="279"/>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C – ПРЕРАЂИВАЧКА ИНДУСТРИЈА</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24</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8.995.000,00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4.497.500</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28,76%</w:t>
            </w:r>
          </w:p>
        </w:tc>
      </w:tr>
      <w:tr w:rsidR="00C71960" w:rsidRPr="001A0581" w:rsidTr="001A0581">
        <w:trPr>
          <w:trHeight w:val="345"/>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D – ПРОИЗВОДЊА И СНАБДИЈЕВАЊЕ ЕЛЕКТРИЧНОМ ЕНЕРГИЈОМ, ГАСОМ, ПАРОМ И КЛИМАТИЗАЦИЈА</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9</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3.242.000,00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1.621.000</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10,37%</w:t>
            </w:r>
          </w:p>
        </w:tc>
      </w:tr>
      <w:tr w:rsidR="00C71960" w:rsidRPr="001A0581" w:rsidTr="00C71960">
        <w:trPr>
          <w:trHeight w:val="270"/>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F – ГРАЂЕВИНАРСТВО</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2.315.000,00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1.157.500</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7,40%</w:t>
            </w:r>
          </w:p>
        </w:tc>
      </w:tr>
      <w:tr w:rsidR="00C71960" w:rsidRPr="001A0581" w:rsidTr="001A0581">
        <w:trPr>
          <w:trHeight w:val="449"/>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G – ТРГОВИНА НА ВЕЛИКО И НА МАЛО; ПОПРАВКА МОТОРНИХ ВОЗИЛА И МОТОЦИКАЛА</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26</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11.296.550,00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5.648.275</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36,12%</w:t>
            </w:r>
          </w:p>
        </w:tc>
      </w:tr>
      <w:tr w:rsidR="00C71960" w:rsidRPr="001A0581" w:rsidTr="00C71960">
        <w:trPr>
          <w:trHeight w:val="39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H – САОБРАЋАЈ И СКЛАДИШТЕЊЕ</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13</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2.112.000,00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lang w:val="sr-Cyrl-RS"/>
              </w:rPr>
            </w:pPr>
            <w:r w:rsidRPr="001A0581">
              <w:rPr>
                <w:rFonts w:ascii="Calibri" w:hAnsi="Calibri"/>
                <w:color w:val="auto"/>
                <w:sz w:val="16"/>
                <w:szCs w:val="16"/>
              </w:rPr>
              <w:t>1.056.000</w:t>
            </w:r>
            <w:r w:rsidR="00E51A1A"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6,75%</w:t>
            </w:r>
          </w:p>
        </w:tc>
      </w:tr>
      <w:tr w:rsidR="00C71960" w:rsidRPr="001A0581" w:rsidTr="001A0581">
        <w:trPr>
          <w:trHeight w:val="432"/>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1A0581">
            <w:pPr>
              <w:jc w:val="left"/>
              <w:rPr>
                <w:rFonts w:ascii="Calibri" w:hAnsi="Calibri"/>
                <w:color w:val="auto"/>
                <w:sz w:val="16"/>
                <w:szCs w:val="16"/>
              </w:rPr>
            </w:pPr>
            <w:r w:rsidRPr="001A0581">
              <w:rPr>
                <w:rFonts w:ascii="Calibri" w:hAnsi="Calibri"/>
                <w:color w:val="auto"/>
                <w:sz w:val="16"/>
                <w:szCs w:val="16"/>
              </w:rPr>
              <w:t>Подручје I – ДЈЕЛАТНОСТИ ПРУЖАЊА СМЈЕШТАЈА</w:t>
            </w:r>
            <w:r w:rsidR="001A0581" w:rsidRPr="001A0581">
              <w:rPr>
                <w:rFonts w:ascii="Calibri" w:hAnsi="Calibri"/>
                <w:color w:val="auto"/>
                <w:sz w:val="16"/>
                <w:szCs w:val="16"/>
                <w:lang w:val="sr-Cyrl-RS"/>
              </w:rPr>
              <w:t xml:space="preserve"> </w:t>
            </w:r>
            <w:r w:rsidRPr="001A0581">
              <w:rPr>
                <w:rFonts w:ascii="Calibri" w:hAnsi="Calibri"/>
                <w:color w:val="auto"/>
                <w:sz w:val="16"/>
                <w:szCs w:val="16"/>
              </w:rPr>
              <w:t xml:space="preserve"> И ПОСЛУЖИВАЊА ХРАНЕ; ХОТЕЛИЈЕРСТВО И УГОСТИТЕЉСТВО</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560.000,00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280.000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1,79%</w:t>
            </w:r>
          </w:p>
        </w:tc>
      </w:tr>
      <w:tr w:rsidR="00C71960" w:rsidRPr="001A0581" w:rsidTr="001A0581">
        <w:trPr>
          <w:trHeight w:val="264"/>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Ј – ИНФОРМАЦИЈЕ И КОМУНИКАЦИЈЕ</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620.000,00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310.000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1,98%</w:t>
            </w:r>
          </w:p>
        </w:tc>
      </w:tr>
      <w:tr w:rsidR="00C71960" w:rsidRPr="001A0581" w:rsidTr="001A0581">
        <w:trPr>
          <w:trHeight w:val="287"/>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М – СТРУЧНЕ, НАУЧНЕ И ТЕХНИЧКЕ ДЈЕЛАТНОСТИ</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380.000,00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190.000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1,22%</w:t>
            </w:r>
          </w:p>
        </w:tc>
      </w:tr>
      <w:tr w:rsidR="00C71960" w:rsidRPr="001A0581" w:rsidTr="00C71960">
        <w:trPr>
          <w:trHeight w:val="480"/>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Q – ДЈЕЛАТНОСТИ ЗДРАВСТВЕНЕ ЗАШТИТЕ И СОЦИЈАЛНОГ РАДА</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500.000,00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250.000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1,60%</w:t>
            </w:r>
          </w:p>
        </w:tc>
      </w:tr>
      <w:tr w:rsidR="00C71960" w:rsidRPr="001A0581" w:rsidTr="001A0581">
        <w:trPr>
          <w:trHeight w:val="295"/>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S – ОСТАЛЕ УСЛУЖНЕ ДЈЕЛАТНОСТИ</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90.000,00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45.000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0,29%</w:t>
            </w:r>
          </w:p>
        </w:tc>
      </w:tr>
      <w:tr w:rsidR="00C71960" w:rsidRPr="001A0581" w:rsidTr="00C71960">
        <w:trPr>
          <w:trHeight w:val="480"/>
        </w:trPr>
        <w:tc>
          <w:tcPr>
            <w:tcW w:w="4551" w:type="dxa"/>
            <w:tcBorders>
              <w:top w:val="nil"/>
              <w:left w:val="single" w:sz="4" w:space="0" w:color="auto"/>
              <w:bottom w:val="single" w:sz="4" w:space="0" w:color="auto"/>
              <w:right w:val="single" w:sz="4" w:space="0" w:color="auto"/>
            </w:tcBorders>
            <w:shd w:val="clear" w:color="auto" w:fill="auto"/>
            <w:hideMark/>
          </w:tcPr>
          <w:p w:rsidR="00C71960" w:rsidRPr="001A0581" w:rsidRDefault="00C71960" w:rsidP="00C71960">
            <w:pPr>
              <w:jc w:val="left"/>
              <w:rPr>
                <w:rFonts w:ascii="Calibri" w:hAnsi="Calibri"/>
                <w:color w:val="auto"/>
                <w:sz w:val="16"/>
                <w:szCs w:val="16"/>
              </w:rPr>
            </w:pPr>
            <w:r w:rsidRPr="001A0581">
              <w:rPr>
                <w:rFonts w:ascii="Calibri" w:hAnsi="Calibri"/>
                <w:color w:val="auto"/>
                <w:sz w:val="16"/>
                <w:szCs w:val="16"/>
              </w:rPr>
              <w:t>Подручје Т – ДЈЕЛАТНОСТИ ДОМАЋИНСТАВА КАО ПОСЛОДАВАЦА</w:t>
            </w:r>
          </w:p>
        </w:tc>
        <w:tc>
          <w:tcPr>
            <w:tcW w:w="851"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center"/>
              <w:rPr>
                <w:rFonts w:ascii="Calibri" w:hAnsi="Calibri"/>
                <w:color w:val="auto"/>
                <w:sz w:val="16"/>
                <w:szCs w:val="16"/>
              </w:rPr>
            </w:pPr>
            <w:r w:rsidRPr="001A0581">
              <w:rPr>
                <w:rFonts w:ascii="Calibri" w:hAnsi="Calibri"/>
                <w:color w:val="auto"/>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30.000,00</w:t>
            </w:r>
          </w:p>
        </w:tc>
        <w:tc>
          <w:tcPr>
            <w:tcW w:w="1275" w:type="dxa"/>
            <w:tcBorders>
              <w:top w:val="nil"/>
              <w:left w:val="nil"/>
              <w:bottom w:val="single" w:sz="4" w:space="0" w:color="auto"/>
              <w:right w:val="single" w:sz="4" w:space="0" w:color="auto"/>
            </w:tcBorders>
            <w:shd w:val="clear" w:color="auto" w:fill="auto"/>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15.000</w:t>
            </w:r>
          </w:p>
        </w:tc>
        <w:tc>
          <w:tcPr>
            <w:tcW w:w="851" w:type="dxa"/>
            <w:tcBorders>
              <w:top w:val="nil"/>
              <w:left w:val="nil"/>
              <w:bottom w:val="single" w:sz="4" w:space="0" w:color="auto"/>
              <w:right w:val="single" w:sz="4" w:space="0" w:color="auto"/>
            </w:tcBorders>
            <w:shd w:val="clear" w:color="auto" w:fill="auto"/>
            <w:noWrap/>
            <w:vAlign w:val="center"/>
            <w:hideMark/>
          </w:tcPr>
          <w:p w:rsidR="00C71960" w:rsidRPr="001A0581" w:rsidRDefault="00C71960" w:rsidP="00C71960">
            <w:pPr>
              <w:jc w:val="right"/>
              <w:rPr>
                <w:rFonts w:ascii="Calibri" w:hAnsi="Calibri"/>
                <w:color w:val="auto"/>
                <w:sz w:val="16"/>
                <w:szCs w:val="16"/>
              </w:rPr>
            </w:pPr>
            <w:r w:rsidRPr="001A0581">
              <w:rPr>
                <w:rFonts w:ascii="Calibri" w:hAnsi="Calibri"/>
                <w:color w:val="auto"/>
                <w:sz w:val="16"/>
                <w:szCs w:val="16"/>
              </w:rPr>
              <w:t>0,10%</w:t>
            </w:r>
          </w:p>
        </w:tc>
      </w:tr>
      <w:tr w:rsidR="00C71960" w:rsidRPr="001A0581" w:rsidTr="00C71960">
        <w:trPr>
          <w:trHeight w:val="480"/>
        </w:trPr>
        <w:tc>
          <w:tcPr>
            <w:tcW w:w="4551" w:type="dxa"/>
            <w:tcBorders>
              <w:top w:val="nil"/>
              <w:left w:val="single" w:sz="4" w:space="0" w:color="auto"/>
              <w:bottom w:val="single" w:sz="4" w:space="0" w:color="auto"/>
              <w:right w:val="single" w:sz="4" w:space="0" w:color="auto"/>
            </w:tcBorders>
            <w:shd w:val="clear" w:color="000000" w:fill="8DB4E2"/>
            <w:vAlign w:val="center"/>
            <w:hideMark/>
          </w:tcPr>
          <w:p w:rsidR="00C71960" w:rsidRPr="001A0581" w:rsidRDefault="00C71960" w:rsidP="00C71960">
            <w:pPr>
              <w:jc w:val="center"/>
              <w:rPr>
                <w:rFonts w:ascii="Calibri" w:hAnsi="Calibri"/>
                <w:b/>
                <w:bCs/>
                <w:color w:val="auto"/>
                <w:sz w:val="16"/>
                <w:szCs w:val="16"/>
              </w:rPr>
            </w:pPr>
            <w:r w:rsidRPr="001A0581">
              <w:rPr>
                <w:rFonts w:ascii="Calibri" w:hAnsi="Calibri"/>
                <w:b/>
                <w:bCs/>
                <w:color w:val="auto"/>
                <w:sz w:val="16"/>
                <w:szCs w:val="16"/>
              </w:rPr>
              <w:t>УКУПНО</w:t>
            </w:r>
          </w:p>
        </w:tc>
        <w:tc>
          <w:tcPr>
            <w:tcW w:w="851" w:type="dxa"/>
            <w:tcBorders>
              <w:top w:val="nil"/>
              <w:left w:val="nil"/>
              <w:bottom w:val="single" w:sz="4" w:space="0" w:color="auto"/>
              <w:right w:val="single" w:sz="4" w:space="0" w:color="auto"/>
            </w:tcBorders>
            <w:shd w:val="clear" w:color="000000" w:fill="8DB4E2"/>
            <w:vAlign w:val="center"/>
            <w:hideMark/>
          </w:tcPr>
          <w:p w:rsidR="00C71960" w:rsidRPr="001A0581" w:rsidRDefault="00C71960" w:rsidP="00C71960">
            <w:pPr>
              <w:jc w:val="center"/>
              <w:rPr>
                <w:rFonts w:ascii="Calibri" w:hAnsi="Calibri"/>
                <w:b/>
                <w:bCs/>
                <w:color w:val="auto"/>
                <w:sz w:val="16"/>
                <w:szCs w:val="16"/>
              </w:rPr>
            </w:pPr>
            <w:r w:rsidRPr="001A0581">
              <w:rPr>
                <w:rFonts w:ascii="Calibri" w:hAnsi="Calibri"/>
                <w:b/>
                <w:bCs/>
                <w:color w:val="auto"/>
                <w:sz w:val="16"/>
                <w:szCs w:val="16"/>
              </w:rPr>
              <w:t>100</w:t>
            </w:r>
          </w:p>
        </w:tc>
        <w:tc>
          <w:tcPr>
            <w:tcW w:w="1276" w:type="dxa"/>
            <w:tcBorders>
              <w:top w:val="nil"/>
              <w:left w:val="nil"/>
              <w:bottom w:val="single" w:sz="4" w:space="0" w:color="auto"/>
              <w:right w:val="single" w:sz="4" w:space="0" w:color="auto"/>
            </w:tcBorders>
            <w:shd w:val="clear" w:color="000000" w:fill="8DB4E2"/>
            <w:vAlign w:val="center"/>
            <w:hideMark/>
          </w:tcPr>
          <w:p w:rsidR="00C71960" w:rsidRPr="001A0581" w:rsidRDefault="00C71960" w:rsidP="00C71960">
            <w:pPr>
              <w:jc w:val="right"/>
              <w:rPr>
                <w:rFonts w:ascii="Calibri" w:hAnsi="Calibri"/>
                <w:b/>
                <w:bCs/>
                <w:color w:val="auto"/>
                <w:sz w:val="16"/>
                <w:szCs w:val="16"/>
              </w:rPr>
            </w:pPr>
            <w:r w:rsidRPr="001A0581">
              <w:rPr>
                <w:rFonts w:ascii="Calibri" w:hAnsi="Calibri"/>
                <w:b/>
                <w:bCs/>
                <w:color w:val="auto"/>
                <w:sz w:val="16"/>
                <w:szCs w:val="16"/>
              </w:rPr>
              <w:t>31.274.550,00</w:t>
            </w:r>
          </w:p>
        </w:tc>
        <w:tc>
          <w:tcPr>
            <w:tcW w:w="1275" w:type="dxa"/>
            <w:tcBorders>
              <w:top w:val="nil"/>
              <w:left w:val="nil"/>
              <w:bottom w:val="single" w:sz="4" w:space="0" w:color="auto"/>
              <w:right w:val="single" w:sz="4" w:space="0" w:color="auto"/>
            </w:tcBorders>
            <w:shd w:val="clear" w:color="000000" w:fill="8DB4E2"/>
            <w:vAlign w:val="center"/>
            <w:hideMark/>
          </w:tcPr>
          <w:p w:rsidR="00C71960" w:rsidRPr="001A0581" w:rsidRDefault="00C71960" w:rsidP="00C71960">
            <w:pPr>
              <w:jc w:val="right"/>
              <w:rPr>
                <w:rFonts w:ascii="Calibri" w:hAnsi="Calibri"/>
                <w:b/>
                <w:bCs/>
                <w:color w:val="auto"/>
                <w:sz w:val="16"/>
                <w:szCs w:val="16"/>
              </w:rPr>
            </w:pPr>
            <w:r w:rsidRPr="001A0581">
              <w:rPr>
                <w:rFonts w:ascii="Calibri" w:hAnsi="Calibri"/>
                <w:b/>
                <w:bCs/>
                <w:color w:val="auto"/>
                <w:sz w:val="16"/>
                <w:szCs w:val="16"/>
              </w:rPr>
              <w:t>15.637.275,00</w:t>
            </w:r>
          </w:p>
        </w:tc>
        <w:tc>
          <w:tcPr>
            <w:tcW w:w="851" w:type="dxa"/>
            <w:tcBorders>
              <w:top w:val="nil"/>
              <w:left w:val="nil"/>
              <w:bottom w:val="single" w:sz="4" w:space="0" w:color="auto"/>
              <w:right w:val="single" w:sz="4" w:space="0" w:color="auto"/>
            </w:tcBorders>
            <w:shd w:val="clear" w:color="000000" w:fill="8DB4E2"/>
            <w:noWrap/>
            <w:vAlign w:val="center"/>
            <w:hideMark/>
          </w:tcPr>
          <w:p w:rsidR="00C71960" w:rsidRPr="001A0581" w:rsidRDefault="00C71960" w:rsidP="00C71960">
            <w:pPr>
              <w:jc w:val="right"/>
              <w:rPr>
                <w:rFonts w:ascii="Calibri" w:hAnsi="Calibri"/>
                <w:b/>
                <w:bCs/>
                <w:color w:val="auto"/>
                <w:sz w:val="16"/>
                <w:szCs w:val="16"/>
              </w:rPr>
            </w:pPr>
            <w:r w:rsidRPr="001A0581">
              <w:rPr>
                <w:rFonts w:ascii="Calibri" w:hAnsi="Calibri"/>
                <w:b/>
                <w:bCs/>
                <w:color w:val="auto"/>
                <w:sz w:val="16"/>
                <w:szCs w:val="16"/>
              </w:rPr>
              <w:t>100,00%</w:t>
            </w:r>
          </w:p>
        </w:tc>
      </w:tr>
    </w:tbl>
    <w:p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rsidR="001538EF" w:rsidRDefault="001538EF" w:rsidP="001538EF">
      <w:pPr>
        <w:autoSpaceDE w:val="0"/>
        <w:autoSpaceDN w:val="0"/>
        <w:adjustRightInd w:val="0"/>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 xml:space="preserve">Структура гаранција по дјелатностима показује да </w:t>
      </w:r>
      <w:r w:rsidR="00E51A1A">
        <w:rPr>
          <w:rFonts w:asciiTheme="minorHAnsi" w:hAnsiTheme="minorHAnsi"/>
          <w:bCs/>
          <w:sz w:val="20"/>
          <w:szCs w:val="20"/>
          <w:lang w:val="sr-Cyrl-BA" w:eastAsia="sr-Latn-RS"/>
        </w:rPr>
        <w:t xml:space="preserve">доминирају прерађивачка индустрија и трговина, које су уједно двије најзаступљеније гране у привреди Републике Српске. Гаранције издане за пројекте из ове двије области чине готово двије трећине </w:t>
      </w:r>
      <w:r w:rsidR="00593546">
        <w:rPr>
          <w:rFonts w:asciiTheme="minorHAnsi" w:hAnsiTheme="minorHAnsi"/>
          <w:bCs/>
          <w:sz w:val="20"/>
          <w:szCs w:val="20"/>
          <w:lang w:val="sr-Cyrl-BA" w:eastAsia="sr-Latn-RS"/>
        </w:rPr>
        <w:t xml:space="preserve">вриједности </w:t>
      </w:r>
      <w:r w:rsidR="00E51A1A">
        <w:rPr>
          <w:rFonts w:asciiTheme="minorHAnsi" w:hAnsiTheme="minorHAnsi"/>
          <w:bCs/>
          <w:sz w:val="20"/>
          <w:szCs w:val="20"/>
          <w:lang w:val="sr-Cyrl-BA" w:eastAsia="sr-Latn-RS"/>
        </w:rPr>
        <w:t xml:space="preserve">пласираних гаранција током 2024. године. У област трговине на велико и мало је издано 26 гаранција у износу од </w:t>
      </w:r>
      <w:r w:rsidR="00E51A1A" w:rsidRPr="00E51A1A">
        <w:rPr>
          <w:rFonts w:asciiTheme="minorHAnsi" w:hAnsiTheme="minorHAnsi"/>
          <w:bCs/>
          <w:sz w:val="20"/>
          <w:szCs w:val="20"/>
          <w:lang w:val="sr-Cyrl-BA" w:eastAsia="sr-Latn-RS"/>
        </w:rPr>
        <w:t>5.648.275,00</w:t>
      </w:r>
      <w:r w:rsidR="00E51A1A">
        <w:rPr>
          <w:rFonts w:asciiTheme="minorHAnsi" w:hAnsiTheme="minorHAnsi"/>
          <w:bCs/>
          <w:sz w:val="20"/>
          <w:szCs w:val="20"/>
          <w:lang w:val="sr-Cyrl-BA" w:eastAsia="sr-Latn-RS"/>
        </w:rPr>
        <w:t xml:space="preserve"> КМ, док су </w:t>
      </w:r>
      <w:r w:rsidR="00593546">
        <w:rPr>
          <w:rFonts w:asciiTheme="minorHAnsi" w:hAnsiTheme="minorHAnsi"/>
          <w:bCs/>
          <w:sz w:val="20"/>
          <w:szCs w:val="20"/>
          <w:lang w:val="sr-Cyrl-BA" w:eastAsia="sr-Latn-RS"/>
        </w:rPr>
        <w:t>24 пројекта</w:t>
      </w:r>
      <w:r w:rsidR="00E51A1A">
        <w:rPr>
          <w:rFonts w:asciiTheme="minorHAnsi" w:hAnsiTheme="minorHAnsi"/>
          <w:bCs/>
          <w:sz w:val="20"/>
          <w:szCs w:val="20"/>
          <w:lang w:val="sr-Cyrl-BA" w:eastAsia="sr-Latn-RS"/>
        </w:rPr>
        <w:t xml:space="preserve"> из области прерађивачке индустрије подржан</w:t>
      </w:r>
      <w:r w:rsidR="00593546">
        <w:rPr>
          <w:rFonts w:asciiTheme="minorHAnsi" w:hAnsiTheme="minorHAnsi"/>
          <w:bCs/>
          <w:sz w:val="20"/>
          <w:szCs w:val="20"/>
          <w:lang w:val="sr-Cyrl-BA" w:eastAsia="sr-Latn-RS"/>
        </w:rPr>
        <w:t>а</w:t>
      </w:r>
      <w:r w:rsidR="00E51A1A">
        <w:rPr>
          <w:rFonts w:asciiTheme="minorHAnsi" w:hAnsiTheme="minorHAnsi"/>
          <w:bCs/>
          <w:sz w:val="20"/>
          <w:szCs w:val="20"/>
          <w:lang w:val="sr-Cyrl-BA" w:eastAsia="sr-Latn-RS"/>
        </w:rPr>
        <w:t xml:space="preserve"> са гаранцијама у износу од </w:t>
      </w:r>
      <w:r w:rsidR="00E51A1A" w:rsidRPr="00E51A1A">
        <w:rPr>
          <w:rFonts w:asciiTheme="minorHAnsi" w:hAnsiTheme="minorHAnsi"/>
          <w:bCs/>
          <w:sz w:val="20"/>
          <w:szCs w:val="20"/>
          <w:lang w:val="sr-Cyrl-BA" w:eastAsia="sr-Latn-RS"/>
        </w:rPr>
        <w:t>4.497.500,00</w:t>
      </w:r>
      <w:r w:rsidR="00E51A1A">
        <w:rPr>
          <w:rFonts w:asciiTheme="minorHAnsi" w:hAnsiTheme="minorHAnsi"/>
          <w:bCs/>
          <w:sz w:val="20"/>
          <w:szCs w:val="20"/>
          <w:lang w:val="sr-Cyrl-BA" w:eastAsia="sr-Latn-RS"/>
        </w:rPr>
        <w:t xml:space="preserve"> КМ.  На трећем мјесту се налази област производње и снабдијевања електричном енергијом, </w:t>
      </w:r>
      <w:r w:rsidR="00DD273B">
        <w:rPr>
          <w:rFonts w:asciiTheme="minorHAnsi" w:hAnsiTheme="minorHAnsi"/>
          <w:bCs/>
          <w:sz w:val="20"/>
          <w:szCs w:val="20"/>
          <w:lang w:val="sr-Cyrl-BA" w:eastAsia="sr-Latn-RS"/>
        </w:rPr>
        <w:t>у оквиру које је издано 9 гаранција у износу од 1.621.000,00 КМ.</w:t>
      </w:r>
    </w:p>
    <w:p w:rsidR="005B57E0" w:rsidRPr="0066469A" w:rsidRDefault="005B57E0" w:rsidP="001538EF">
      <w:pPr>
        <w:autoSpaceDE w:val="0"/>
        <w:autoSpaceDN w:val="0"/>
        <w:adjustRightInd w:val="0"/>
        <w:rPr>
          <w:rFonts w:asciiTheme="minorHAnsi" w:hAnsiTheme="minorHAnsi"/>
          <w:b/>
          <w:bCs/>
          <w:sz w:val="20"/>
          <w:szCs w:val="20"/>
          <w:lang w:val="sr-Cyrl-RS" w:eastAsia="sr-Latn-RS"/>
        </w:rPr>
      </w:pPr>
    </w:p>
    <w:p w:rsidR="00130BFD" w:rsidRPr="00130BFD" w:rsidRDefault="001538EF" w:rsidP="00130BFD">
      <w:pPr>
        <w:autoSpaceDE w:val="0"/>
        <w:autoSpaceDN w:val="0"/>
        <w:adjustRightInd w:val="0"/>
        <w:jc w:val="center"/>
        <w:rPr>
          <w:rFonts w:asciiTheme="minorHAnsi" w:eastAsiaTheme="minorHAnsi" w:hAnsiTheme="minorHAnsi"/>
          <w:color w:val="auto"/>
          <w:sz w:val="20"/>
          <w:szCs w:val="20"/>
          <w:lang w:val="sr-Cyrl-RS" w:eastAsia="en-US"/>
        </w:rPr>
      </w:pPr>
      <w:r w:rsidRPr="005767EF">
        <w:rPr>
          <w:rFonts w:asciiTheme="minorHAnsi" w:hAnsiTheme="minorHAnsi"/>
          <w:b/>
          <w:bCs/>
          <w:sz w:val="20"/>
          <w:szCs w:val="20"/>
          <w:lang w:val="sr-Latn-RS" w:eastAsia="sr-Latn-RS"/>
        </w:rPr>
        <w:t xml:space="preserve">Преглед изданих гаранција по </w:t>
      </w:r>
      <w:r w:rsidRPr="005767EF">
        <w:rPr>
          <w:rFonts w:asciiTheme="minorHAnsi" w:hAnsiTheme="minorHAnsi"/>
          <w:b/>
          <w:bCs/>
          <w:sz w:val="20"/>
          <w:szCs w:val="20"/>
          <w:lang w:val="sr-Cyrl-BA" w:eastAsia="sr-Latn-RS"/>
        </w:rPr>
        <w:t xml:space="preserve">градовима и општинама </w:t>
      </w:r>
      <w:r w:rsidR="008A3C49">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период</w:t>
      </w:r>
      <w:r w:rsidR="008A3C49">
        <w:rPr>
          <w:rFonts w:asciiTheme="minorHAnsi" w:hAnsiTheme="minorHAnsi"/>
          <w:b/>
          <w:bCs/>
          <w:sz w:val="20"/>
          <w:szCs w:val="20"/>
          <w:lang w:val="sr-Cyrl-RS" w:eastAsia="sr-Latn-RS"/>
        </w:rPr>
        <w:t>у</w:t>
      </w:r>
      <w:r w:rsidRPr="005767EF">
        <w:rPr>
          <w:rFonts w:asciiTheme="minorHAnsi" w:hAnsiTheme="minorHAnsi"/>
          <w:b/>
          <w:bCs/>
          <w:sz w:val="20"/>
          <w:szCs w:val="20"/>
          <w:lang w:val="sr-Latn-RS" w:eastAsia="sr-Latn-RS"/>
        </w:rPr>
        <w:t xml:space="preserve"> 01.01.202</w:t>
      </w:r>
      <w:r w:rsidR="00667E06">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 - 31.12.202</w:t>
      </w:r>
      <w:r w:rsidR="00667E06">
        <w:rPr>
          <w:rFonts w:asciiTheme="minorHAnsi" w:hAnsiTheme="minorHAnsi"/>
          <w:b/>
          <w:bCs/>
          <w:sz w:val="20"/>
          <w:szCs w:val="20"/>
          <w:lang w:val="sr-Cyrl-RS" w:eastAsia="sr-Latn-RS"/>
        </w:rPr>
        <w:t>4</w:t>
      </w:r>
      <w:r w:rsidR="00130BFD">
        <w:rPr>
          <w:rFonts w:asciiTheme="minorHAnsi" w:hAnsiTheme="minorHAnsi"/>
          <w:b/>
          <w:bCs/>
          <w:sz w:val="20"/>
          <w:szCs w:val="20"/>
          <w:lang w:val="sr-Latn-RS" w:eastAsia="sr-Latn-RS"/>
        </w:rPr>
        <w:t>. годин</w:t>
      </w:r>
      <w:r w:rsidR="00130BFD">
        <w:rPr>
          <w:rFonts w:asciiTheme="minorHAnsi" w:hAnsiTheme="minorHAnsi"/>
          <w:b/>
          <w:bCs/>
          <w:sz w:val="20"/>
          <w:szCs w:val="20"/>
          <w:lang w:val="sr-Cyrl-RS" w:eastAsia="sr-Latn-RS"/>
        </w:rPr>
        <w:t>е</w:t>
      </w:r>
    </w:p>
    <w:p w:rsidR="00130BFD" w:rsidRPr="005767EF" w:rsidRDefault="00130BFD" w:rsidP="001538EF">
      <w:pPr>
        <w:autoSpaceDE w:val="0"/>
        <w:autoSpaceDN w:val="0"/>
        <w:adjustRightInd w:val="0"/>
        <w:rPr>
          <w:rFonts w:asciiTheme="minorHAnsi" w:eastAsiaTheme="minorHAnsi" w:hAnsiTheme="minorHAnsi"/>
          <w:color w:val="auto"/>
          <w:sz w:val="20"/>
          <w:szCs w:val="20"/>
          <w:lang w:val="sr-Cyrl-BA" w:eastAsia="en-US"/>
        </w:rPr>
      </w:pPr>
    </w:p>
    <w:p w:rsidR="001538EF" w:rsidRPr="009342FB" w:rsidRDefault="001538EF" w:rsidP="001538EF">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t xml:space="preserve">       </w:t>
      </w:r>
      <w:r w:rsidR="009342FB">
        <w:rPr>
          <w:rFonts w:asciiTheme="minorHAnsi" w:eastAsiaTheme="minorHAnsi" w:hAnsiTheme="minorHAnsi"/>
          <w:color w:val="auto"/>
          <w:sz w:val="20"/>
          <w:szCs w:val="20"/>
          <w:lang w:val="sr-Cyrl-BA" w:eastAsia="en-US"/>
        </w:rPr>
        <w:t xml:space="preserve">      </w:t>
      </w:r>
      <w:r w:rsidRPr="005767EF">
        <w:rPr>
          <w:rFonts w:asciiTheme="minorHAnsi" w:eastAsiaTheme="minorHAnsi" w:hAnsiTheme="minorHAnsi"/>
          <w:color w:val="auto"/>
          <w:sz w:val="20"/>
          <w:szCs w:val="20"/>
          <w:lang w:val="sr-Cyrl-BA" w:eastAsia="en-US"/>
        </w:rPr>
        <w:t xml:space="preserve">   </w:t>
      </w:r>
      <w:r w:rsidR="00A944C8">
        <w:rPr>
          <w:rFonts w:asciiTheme="minorHAnsi" w:eastAsiaTheme="minorHAnsi" w:hAnsiTheme="minorHAnsi"/>
          <w:b/>
          <w:color w:val="auto"/>
          <w:sz w:val="20"/>
          <w:szCs w:val="20"/>
          <w:lang w:val="sr-Cyrl-BA" w:eastAsia="en-US"/>
        </w:rPr>
        <w:t xml:space="preserve">Табела </w:t>
      </w:r>
      <w:r w:rsidR="0034546F">
        <w:rPr>
          <w:rFonts w:asciiTheme="minorHAnsi" w:eastAsiaTheme="minorHAnsi" w:hAnsiTheme="minorHAnsi"/>
          <w:b/>
          <w:color w:val="auto"/>
          <w:sz w:val="20"/>
          <w:szCs w:val="20"/>
          <w:lang w:val="sr-Cyrl-BA" w:eastAsia="en-US"/>
        </w:rPr>
        <w:t>7</w:t>
      </w:r>
    </w:p>
    <w:tbl>
      <w:tblPr>
        <w:tblW w:w="8804" w:type="dxa"/>
        <w:tblInd w:w="93" w:type="dxa"/>
        <w:tblLook w:val="04A0" w:firstRow="1" w:lastRow="0" w:firstColumn="1" w:lastColumn="0" w:noHBand="0" w:noVBand="1"/>
      </w:tblPr>
      <w:tblGrid>
        <w:gridCol w:w="2000"/>
        <w:gridCol w:w="1134"/>
        <w:gridCol w:w="2126"/>
        <w:gridCol w:w="1559"/>
        <w:gridCol w:w="1985"/>
      </w:tblGrid>
      <w:tr w:rsidR="001A0581" w:rsidRPr="001A0581" w:rsidTr="001A0581">
        <w:trPr>
          <w:trHeight w:val="510"/>
        </w:trPr>
        <w:tc>
          <w:tcPr>
            <w:tcW w:w="200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Град/Општина</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Број кредита</w:t>
            </w:r>
          </w:p>
        </w:tc>
        <w:tc>
          <w:tcPr>
            <w:tcW w:w="2126" w:type="dxa"/>
            <w:tcBorders>
              <w:top w:val="single" w:sz="4" w:space="0" w:color="auto"/>
              <w:left w:val="nil"/>
              <w:bottom w:val="single" w:sz="4" w:space="0" w:color="auto"/>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Износ кредита</w:t>
            </w:r>
          </w:p>
        </w:tc>
        <w:tc>
          <w:tcPr>
            <w:tcW w:w="1559" w:type="dxa"/>
            <w:tcBorders>
              <w:top w:val="single" w:sz="4" w:space="0" w:color="auto"/>
              <w:left w:val="nil"/>
              <w:bottom w:val="single" w:sz="4" w:space="0" w:color="auto"/>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Износ гаранције</w:t>
            </w:r>
          </w:p>
        </w:tc>
        <w:tc>
          <w:tcPr>
            <w:tcW w:w="1985" w:type="dxa"/>
            <w:tcBorders>
              <w:top w:val="single" w:sz="4" w:space="0" w:color="auto"/>
              <w:left w:val="nil"/>
              <w:bottom w:val="single" w:sz="4" w:space="0" w:color="auto"/>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Учешће</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Бања Лука</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26</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12.022.550,00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6.011.275,00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38,44%</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Бијељина</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20</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4.798.000,00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2.399.000,00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15,34%</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Лакташи</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8</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1.966.000,00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983.000,00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6,29%</w:t>
            </w:r>
          </w:p>
        </w:tc>
      </w:tr>
      <w:tr w:rsidR="001A0581" w:rsidRPr="001A0581" w:rsidTr="001A0581">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Градишка</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5</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2.130.000,00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1.065.000,00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6,81%</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Calibri" w:hAnsi="Calibri"/>
                <w:sz w:val="18"/>
                <w:szCs w:val="18"/>
              </w:rPr>
            </w:pPr>
            <w:r w:rsidRPr="001A0581">
              <w:rPr>
                <w:rFonts w:ascii="Calibri" w:hAnsi="Calibri"/>
                <w:sz w:val="18"/>
                <w:szCs w:val="18"/>
              </w:rPr>
              <w:t>Шамац</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5</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1.340.000,00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670.000,00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4,28%</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Модрича</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4</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1.192.000,00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596.000,00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3,81%</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Челинац</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185.000,00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92.500,00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0,59%</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Приједор</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565.000,00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282.500,00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1,81%</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Трн</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960.000,00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480.000,00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3,07%</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Источно Сарајево</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1.155.000,00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577.500,00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3,69%</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Требиње</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535.000,00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267.500,00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1,71%</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Прњавор</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195.000,00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97.500,00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0,62%</w:t>
            </w:r>
          </w:p>
        </w:tc>
      </w:tr>
      <w:tr w:rsidR="001A0581" w:rsidRPr="001A0581" w:rsidTr="001A0581">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Угљевик</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520.000,00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260.000,00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1,66%</w:t>
            </w:r>
          </w:p>
        </w:tc>
      </w:tr>
      <w:tr w:rsidR="001A0581" w:rsidRPr="001A0581" w:rsidTr="001A0581">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Србац</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500.000,00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250.000,00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1,60%</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Братунац</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296.000,00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148.000,00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0,95%</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Козарска Дубица</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200.000,00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100.000,00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0,64%</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Мркоњић Град</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1.000.000,00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500.000,00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3,20%</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Пале</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45.000,00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22.500,00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0,14%</w:t>
            </w:r>
          </w:p>
        </w:tc>
      </w:tr>
      <w:tr w:rsidR="001A0581" w:rsidRPr="001A0581" w:rsidTr="001A0581">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Шипово</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100.000,00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50.000,00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0,32%</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Станари</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160.000,00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80.000,00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0,51%</w:t>
            </w:r>
          </w:p>
        </w:tc>
      </w:tr>
      <w:tr w:rsidR="001A0581" w:rsidRPr="001A0581" w:rsidTr="001A0581">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Котор Варош</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70.000,00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35.000,00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0,22%</w:t>
            </w:r>
          </w:p>
        </w:tc>
      </w:tr>
      <w:tr w:rsidR="001A0581" w:rsidRPr="001A0581" w:rsidTr="001A0581">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Добој Југ</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40.000,00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0,13%</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Calibri" w:hAnsi="Calibri"/>
                <w:sz w:val="18"/>
                <w:szCs w:val="18"/>
              </w:rPr>
            </w:pPr>
            <w:r w:rsidRPr="001A0581">
              <w:rPr>
                <w:rFonts w:ascii="Calibri" w:hAnsi="Calibri"/>
                <w:sz w:val="18"/>
                <w:szCs w:val="18"/>
              </w:rPr>
              <w:t>Љубиње</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300.000,00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150.000,00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0,96%</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left"/>
              <w:rPr>
                <w:rFonts w:ascii="Calibri" w:hAnsi="Calibri"/>
                <w:sz w:val="18"/>
                <w:szCs w:val="18"/>
              </w:rPr>
            </w:pPr>
            <w:r w:rsidRPr="001A0581">
              <w:rPr>
                <w:rFonts w:ascii="Calibri" w:hAnsi="Calibri"/>
                <w:sz w:val="18"/>
                <w:szCs w:val="18"/>
              </w:rPr>
              <w:t>Шековићи</w:t>
            </w:r>
          </w:p>
        </w:tc>
        <w:tc>
          <w:tcPr>
            <w:tcW w:w="1134"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w:t>
            </w:r>
          </w:p>
        </w:tc>
        <w:tc>
          <w:tcPr>
            <w:tcW w:w="2126"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1.000.000,00</w:t>
            </w:r>
          </w:p>
        </w:tc>
        <w:tc>
          <w:tcPr>
            <w:tcW w:w="1559" w:type="dxa"/>
            <w:tcBorders>
              <w:top w:val="nil"/>
              <w:left w:val="nil"/>
              <w:bottom w:val="single" w:sz="4" w:space="0" w:color="auto"/>
              <w:right w:val="single" w:sz="4" w:space="0" w:color="auto"/>
            </w:tcBorders>
            <w:shd w:val="clear" w:color="auto" w:fill="auto"/>
            <w:noWrap/>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500.000,00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3,20%</w:t>
            </w:r>
          </w:p>
        </w:tc>
      </w:tr>
      <w:tr w:rsidR="001A0581" w:rsidRPr="001A0581" w:rsidTr="001A0581">
        <w:trPr>
          <w:trHeight w:val="315"/>
        </w:trPr>
        <w:tc>
          <w:tcPr>
            <w:tcW w:w="2000" w:type="dxa"/>
            <w:tcBorders>
              <w:top w:val="nil"/>
              <w:left w:val="single" w:sz="4" w:space="0" w:color="auto"/>
              <w:bottom w:val="single" w:sz="4" w:space="0" w:color="auto"/>
              <w:right w:val="single" w:sz="4" w:space="0" w:color="auto"/>
            </w:tcBorders>
            <w:shd w:val="clear" w:color="000000" w:fill="8DB3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100</w:t>
            </w:r>
          </w:p>
        </w:tc>
        <w:tc>
          <w:tcPr>
            <w:tcW w:w="2126"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right"/>
              <w:rPr>
                <w:rFonts w:ascii="Calibri" w:hAnsi="Calibri"/>
                <w:b/>
                <w:bCs/>
                <w:sz w:val="18"/>
                <w:szCs w:val="18"/>
              </w:rPr>
            </w:pPr>
            <w:r w:rsidRPr="001A0581">
              <w:rPr>
                <w:rFonts w:ascii="Calibri" w:hAnsi="Calibri"/>
                <w:b/>
                <w:bCs/>
                <w:sz w:val="18"/>
                <w:szCs w:val="18"/>
              </w:rPr>
              <w:t>31.274.550,00</w:t>
            </w:r>
          </w:p>
        </w:tc>
        <w:tc>
          <w:tcPr>
            <w:tcW w:w="1559"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right"/>
              <w:rPr>
                <w:rFonts w:ascii="Calibri" w:hAnsi="Calibri"/>
                <w:b/>
                <w:bCs/>
                <w:sz w:val="18"/>
                <w:szCs w:val="18"/>
              </w:rPr>
            </w:pPr>
            <w:r w:rsidRPr="001A0581">
              <w:rPr>
                <w:rFonts w:ascii="Calibri" w:hAnsi="Calibri"/>
                <w:b/>
                <w:bCs/>
                <w:sz w:val="18"/>
                <w:szCs w:val="18"/>
              </w:rPr>
              <w:t>15.637.275,00</w:t>
            </w:r>
          </w:p>
        </w:tc>
        <w:tc>
          <w:tcPr>
            <w:tcW w:w="1985" w:type="dxa"/>
            <w:tcBorders>
              <w:top w:val="nil"/>
              <w:left w:val="nil"/>
              <w:bottom w:val="single" w:sz="4" w:space="0" w:color="auto"/>
              <w:right w:val="single" w:sz="4" w:space="0" w:color="auto"/>
            </w:tcBorders>
            <w:shd w:val="clear" w:color="000000" w:fill="8DB3E2"/>
            <w:noWrap/>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100,00%</w:t>
            </w:r>
          </w:p>
        </w:tc>
      </w:tr>
    </w:tbl>
    <w:p w:rsidR="00195FB5" w:rsidRDefault="00195FB5" w:rsidP="005B57E0">
      <w:pPr>
        <w:autoSpaceDE w:val="0"/>
        <w:autoSpaceDN w:val="0"/>
        <w:adjustRightInd w:val="0"/>
        <w:rPr>
          <w:rFonts w:asciiTheme="minorHAnsi" w:eastAsiaTheme="minorHAnsi" w:hAnsiTheme="minorHAnsi"/>
          <w:color w:val="auto"/>
          <w:sz w:val="20"/>
          <w:szCs w:val="20"/>
          <w:lang w:val="sr-Cyrl-BA" w:eastAsia="en-US"/>
        </w:rPr>
      </w:pPr>
    </w:p>
    <w:p w:rsidR="004D360B" w:rsidRDefault="001538EF" w:rsidP="005B57E0">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 xml:space="preserve">Када је у питању дисперзија </w:t>
      </w:r>
      <w:r w:rsidR="00836834">
        <w:rPr>
          <w:rFonts w:asciiTheme="minorHAnsi" w:eastAsiaTheme="minorHAnsi" w:hAnsiTheme="minorHAnsi"/>
          <w:color w:val="auto"/>
          <w:sz w:val="20"/>
          <w:szCs w:val="20"/>
          <w:lang w:val="sr-Cyrl-BA" w:eastAsia="en-US"/>
        </w:rPr>
        <w:t xml:space="preserve">изданих </w:t>
      </w:r>
      <w:r w:rsidRPr="005767EF">
        <w:rPr>
          <w:rFonts w:asciiTheme="minorHAnsi" w:eastAsiaTheme="minorHAnsi" w:hAnsiTheme="minorHAnsi"/>
          <w:color w:val="auto"/>
          <w:sz w:val="20"/>
          <w:szCs w:val="20"/>
          <w:lang w:val="sr-Cyrl-BA" w:eastAsia="en-US"/>
        </w:rPr>
        <w:t>гаранција по градовима и општинама</w:t>
      </w:r>
      <w:r w:rsidR="0066469A">
        <w:rPr>
          <w:rFonts w:asciiTheme="minorHAnsi" w:eastAsiaTheme="minorHAnsi" w:hAnsiTheme="minorHAnsi"/>
          <w:color w:val="auto"/>
          <w:sz w:val="20"/>
          <w:szCs w:val="20"/>
          <w:lang w:val="sr-Cyrl-BA" w:eastAsia="en-US"/>
        </w:rPr>
        <w:t>,</w:t>
      </w:r>
      <w:r w:rsidRPr="005767EF">
        <w:rPr>
          <w:rFonts w:asciiTheme="minorHAnsi" w:eastAsiaTheme="minorHAnsi" w:hAnsiTheme="minorHAnsi"/>
          <w:color w:val="auto"/>
          <w:sz w:val="20"/>
          <w:szCs w:val="20"/>
          <w:lang w:val="sr-Cyrl-BA" w:eastAsia="en-US"/>
        </w:rPr>
        <w:t xml:space="preserve"> може се констатовати </w:t>
      </w:r>
      <w:r w:rsidR="0066469A">
        <w:rPr>
          <w:rFonts w:asciiTheme="minorHAnsi" w:eastAsiaTheme="minorHAnsi" w:hAnsiTheme="minorHAnsi"/>
          <w:color w:val="auto"/>
          <w:sz w:val="20"/>
          <w:szCs w:val="20"/>
          <w:lang w:val="sr-Cyrl-BA" w:eastAsia="en-US"/>
        </w:rPr>
        <w:t>да је највише гаранција из кред</w:t>
      </w:r>
      <w:r w:rsidRPr="005767EF">
        <w:rPr>
          <w:rFonts w:asciiTheme="minorHAnsi" w:eastAsiaTheme="minorHAnsi" w:hAnsiTheme="minorHAnsi"/>
          <w:color w:val="auto"/>
          <w:sz w:val="20"/>
          <w:szCs w:val="20"/>
          <w:lang w:val="sr-Cyrl-BA" w:eastAsia="en-US"/>
        </w:rPr>
        <w:t>итног портфеља</w:t>
      </w:r>
      <w:r w:rsidR="00403F89">
        <w:rPr>
          <w:rFonts w:asciiTheme="minorHAnsi" w:eastAsiaTheme="minorHAnsi" w:hAnsiTheme="minorHAnsi"/>
          <w:color w:val="auto"/>
          <w:sz w:val="20"/>
          <w:szCs w:val="20"/>
          <w:lang w:val="sr-Cyrl-BA" w:eastAsia="en-US"/>
        </w:rPr>
        <w:t xml:space="preserve"> током 202</w:t>
      </w:r>
      <w:r w:rsidR="001A0581">
        <w:rPr>
          <w:rFonts w:asciiTheme="minorHAnsi" w:eastAsiaTheme="minorHAnsi" w:hAnsiTheme="minorHAnsi"/>
          <w:color w:val="auto"/>
          <w:sz w:val="20"/>
          <w:szCs w:val="20"/>
          <w:lang w:val="sr-Cyrl-BA" w:eastAsia="en-US"/>
        </w:rPr>
        <w:t>4</w:t>
      </w:r>
      <w:r w:rsidR="00403F89">
        <w:rPr>
          <w:rFonts w:asciiTheme="minorHAnsi" w:eastAsiaTheme="minorHAnsi" w:hAnsiTheme="minorHAnsi"/>
          <w:color w:val="auto"/>
          <w:sz w:val="20"/>
          <w:szCs w:val="20"/>
          <w:lang w:val="sr-Cyrl-BA" w:eastAsia="en-US"/>
        </w:rPr>
        <w:t>. године</w:t>
      </w:r>
      <w:r w:rsidRPr="005767EF">
        <w:rPr>
          <w:rFonts w:asciiTheme="minorHAnsi" w:eastAsiaTheme="minorHAnsi" w:hAnsiTheme="minorHAnsi"/>
          <w:color w:val="auto"/>
          <w:sz w:val="20"/>
          <w:szCs w:val="20"/>
          <w:lang w:val="sr-Cyrl-BA" w:eastAsia="en-US"/>
        </w:rPr>
        <w:t xml:space="preserve"> </w:t>
      </w:r>
      <w:r w:rsidR="001A0581">
        <w:rPr>
          <w:rFonts w:asciiTheme="minorHAnsi" w:eastAsiaTheme="minorHAnsi" w:hAnsiTheme="minorHAnsi"/>
          <w:color w:val="auto"/>
          <w:sz w:val="20"/>
          <w:szCs w:val="20"/>
          <w:lang w:val="sr-Cyrl-BA" w:eastAsia="en-US"/>
        </w:rPr>
        <w:t xml:space="preserve">било </w:t>
      </w:r>
      <w:r w:rsidR="0066469A">
        <w:rPr>
          <w:rFonts w:asciiTheme="minorHAnsi" w:eastAsiaTheme="minorHAnsi" w:hAnsiTheme="minorHAnsi"/>
          <w:color w:val="auto"/>
          <w:sz w:val="20"/>
          <w:szCs w:val="20"/>
          <w:lang w:val="sr-Cyrl-BA" w:eastAsia="en-US"/>
        </w:rPr>
        <w:t>усмјерено према пословним субјектима</w:t>
      </w:r>
      <w:r w:rsidRPr="005767EF">
        <w:rPr>
          <w:rFonts w:asciiTheme="minorHAnsi" w:eastAsiaTheme="minorHAnsi" w:hAnsiTheme="minorHAnsi"/>
          <w:color w:val="auto"/>
          <w:sz w:val="20"/>
          <w:szCs w:val="20"/>
          <w:lang w:val="sr-Cyrl-BA" w:eastAsia="en-US"/>
        </w:rPr>
        <w:t xml:space="preserve"> са подручја Бања Луке, Бијељине и </w:t>
      </w:r>
      <w:r w:rsidR="001A0581">
        <w:rPr>
          <w:rFonts w:asciiTheme="minorHAnsi" w:eastAsiaTheme="minorHAnsi" w:hAnsiTheme="minorHAnsi"/>
          <w:color w:val="auto"/>
          <w:sz w:val="20"/>
          <w:szCs w:val="20"/>
          <w:lang w:val="sr-Cyrl-BA" w:eastAsia="en-US"/>
        </w:rPr>
        <w:t>Лакташа</w:t>
      </w:r>
      <w:r w:rsidR="0066469A">
        <w:rPr>
          <w:rFonts w:asciiTheme="minorHAnsi" w:eastAsiaTheme="minorHAnsi" w:hAnsiTheme="minorHAnsi"/>
          <w:color w:val="auto"/>
          <w:sz w:val="20"/>
          <w:szCs w:val="20"/>
          <w:lang w:val="sr-Cyrl-BA" w:eastAsia="en-US"/>
        </w:rPr>
        <w:t xml:space="preserve">. Гаранције издане ради обезбјеђења кредита привредника из </w:t>
      </w:r>
      <w:r w:rsidR="00593546">
        <w:rPr>
          <w:rFonts w:asciiTheme="minorHAnsi" w:eastAsiaTheme="minorHAnsi" w:hAnsiTheme="minorHAnsi"/>
          <w:color w:val="auto"/>
          <w:sz w:val="20"/>
          <w:szCs w:val="20"/>
          <w:lang w:val="sr-Cyrl-BA" w:eastAsia="en-US"/>
        </w:rPr>
        <w:t>три</w:t>
      </w:r>
      <w:r w:rsidR="0066469A">
        <w:rPr>
          <w:rFonts w:asciiTheme="minorHAnsi" w:eastAsiaTheme="minorHAnsi" w:hAnsiTheme="minorHAnsi"/>
          <w:color w:val="auto"/>
          <w:sz w:val="20"/>
          <w:szCs w:val="20"/>
          <w:lang w:val="sr-Cyrl-BA" w:eastAsia="en-US"/>
        </w:rPr>
        <w:t xml:space="preserve"> наведена града имају учешће од </w:t>
      </w:r>
      <w:r w:rsidR="001A0581">
        <w:rPr>
          <w:rFonts w:asciiTheme="minorHAnsi" w:eastAsiaTheme="minorHAnsi" w:hAnsiTheme="minorHAnsi"/>
          <w:color w:val="auto"/>
          <w:sz w:val="20"/>
          <w:szCs w:val="20"/>
          <w:lang w:val="sr-Cyrl-BA" w:eastAsia="en-US"/>
        </w:rPr>
        <w:t>60,07</w:t>
      </w:r>
      <w:r w:rsidR="00403F89">
        <w:rPr>
          <w:rFonts w:asciiTheme="minorHAnsi" w:eastAsiaTheme="minorHAnsi" w:hAnsiTheme="minorHAnsi"/>
          <w:color w:val="auto"/>
          <w:sz w:val="20"/>
          <w:szCs w:val="20"/>
          <w:lang w:val="sr-Cyrl-BA" w:eastAsia="en-US"/>
        </w:rPr>
        <w:t>% у укупно изданим гаранциј</w:t>
      </w:r>
      <w:r w:rsidR="001A0581">
        <w:rPr>
          <w:rFonts w:asciiTheme="minorHAnsi" w:eastAsiaTheme="minorHAnsi" w:hAnsiTheme="minorHAnsi"/>
          <w:color w:val="auto"/>
          <w:sz w:val="20"/>
          <w:szCs w:val="20"/>
          <w:lang w:val="sr-Cyrl-BA" w:eastAsia="en-US"/>
        </w:rPr>
        <w:t>ама у оквиру кредитног портфеља.</w:t>
      </w:r>
    </w:p>
    <w:p w:rsidR="00667E06" w:rsidRDefault="00667E06" w:rsidP="005B57E0">
      <w:pPr>
        <w:autoSpaceDE w:val="0"/>
        <w:autoSpaceDN w:val="0"/>
        <w:adjustRightInd w:val="0"/>
        <w:rPr>
          <w:rFonts w:asciiTheme="minorHAnsi" w:eastAsiaTheme="minorHAnsi" w:hAnsiTheme="minorHAnsi"/>
          <w:color w:val="auto"/>
          <w:sz w:val="20"/>
          <w:szCs w:val="20"/>
          <w:lang w:val="sr-Cyrl-BA" w:eastAsia="en-US"/>
        </w:rPr>
      </w:pPr>
    </w:p>
    <w:p w:rsidR="00667E06" w:rsidRDefault="00667E06" w:rsidP="005B57E0">
      <w:pPr>
        <w:autoSpaceDE w:val="0"/>
        <w:autoSpaceDN w:val="0"/>
        <w:adjustRightInd w:val="0"/>
        <w:rPr>
          <w:rFonts w:asciiTheme="minorHAnsi" w:eastAsiaTheme="minorHAnsi" w:hAnsiTheme="minorHAnsi"/>
          <w:color w:val="auto"/>
          <w:sz w:val="20"/>
          <w:szCs w:val="20"/>
          <w:lang w:val="sr-Cyrl-BA" w:eastAsia="en-US"/>
        </w:rPr>
      </w:pPr>
    </w:p>
    <w:p w:rsidR="00667E06" w:rsidRDefault="00667E06" w:rsidP="005B57E0">
      <w:pPr>
        <w:autoSpaceDE w:val="0"/>
        <w:autoSpaceDN w:val="0"/>
        <w:adjustRightInd w:val="0"/>
        <w:rPr>
          <w:rFonts w:asciiTheme="minorHAnsi" w:eastAsiaTheme="minorHAnsi" w:hAnsiTheme="minorHAnsi"/>
          <w:color w:val="auto"/>
          <w:sz w:val="20"/>
          <w:szCs w:val="20"/>
          <w:lang w:val="sr-Cyrl-BA" w:eastAsia="en-US"/>
        </w:rPr>
      </w:pPr>
    </w:p>
    <w:p w:rsidR="00667E06" w:rsidRPr="005767EF" w:rsidRDefault="00667E06" w:rsidP="005B57E0">
      <w:pPr>
        <w:autoSpaceDE w:val="0"/>
        <w:autoSpaceDN w:val="0"/>
        <w:adjustRightInd w:val="0"/>
        <w:rPr>
          <w:rFonts w:asciiTheme="minorHAnsi" w:eastAsiaTheme="minorHAnsi" w:hAnsiTheme="minorHAnsi"/>
          <w:color w:val="auto"/>
          <w:sz w:val="20"/>
          <w:szCs w:val="20"/>
          <w:lang w:val="sr-Cyrl-BA" w:eastAsia="en-US"/>
        </w:rPr>
      </w:pPr>
    </w:p>
    <w:tbl>
      <w:tblPr>
        <w:tblW w:w="8647" w:type="dxa"/>
        <w:tblInd w:w="108" w:type="dxa"/>
        <w:tblLook w:val="04A0" w:firstRow="1" w:lastRow="0" w:firstColumn="1" w:lastColumn="0" w:noHBand="0" w:noVBand="1"/>
      </w:tblPr>
      <w:tblGrid>
        <w:gridCol w:w="8647"/>
      </w:tblGrid>
      <w:tr w:rsidR="001538EF" w:rsidRPr="005767EF" w:rsidTr="002663DB">
        <w:trPr>
          <w:trHeight w:val="465"/>
        </w:trPr>
        <w:tc>
          <w:tcPr>
            <w:tcW w:w="8647" w:type="dxa"/>
            <w:tcBorders>
              <w:top w:val="nil"/>
              <w:left w:val="nil"/>
              <w:bottom w:val="nil"/>
              <w:right w:val="nil"/>
            </w:tcBorders>
            <w:shd w:val="clear" w:color="000000" w:fill="FFFFFF"/>
            <w:vAlign w:val="center"/>
            <w:hideMark/>
          </w:tcPr>
          <w:p w:rsidR="001538EF" w:rsidRPr="002663DB" w:rsidRDefault="001538EF" w:rsidP="00C12ECB">
            <w:pPr>
              <w:jc w:val="center"/>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Кумулативни преглед издан</w:t>
            </w:r>
            <w:r w:rsidRPr="005767EF">
              <w:rPr>
                <w:rFonts w:asciiTheme="minorHAnsi" w:hAnsiTheme="minorHAnsi"/>
                <w:b/>
                <w:bCs/>
                <w:sz w:val="20"/>
                <w:szCs w:val="20"/>
                <w:lang w:val="sr-Cyrl-BA" w:eastAsia="sr-Latn-RS"/>
              </w:rPr>
              <w:t>и</w:t>
            </w:r>
            <w:r w:rsidRPr="005767EF">
              <w:rPr>
                <w:rFonts w:asciiTheme="minorHAnsi" w:hAnsiTheme="minorHAnsi"/>
                <w:b/>
                <w:bCs/>
                <w:sz w:val="20"/>
                <w:szCs w:val="20"/>
                <w:lang w:val="sr-Latn-RS" w:eastAsia="sr-Latn-RS"/>
              </w:rPr>
              <w:t>х гаранција</w:t>
            </w:r>
            <w:r w:rsidR="002663DB">
              <w:rPr>
                <w:rFonts w:asciiTheme="minorHAnsi" w:hAnsiTheme="minorHAnsi"/>
                <w:b/>
                <w:bCs/>
                <w:sz w:val="20"/>
                <w:szCs w:val="20"/>
                <w:lang w:val="sr-Cyrl-RS" w:eastAsia="sr-Latn-RS"/>
              </w:rPr>
              <w:t xml:space="preserve"> у оквиру кредитног портфеља</w:t>
            </w:r>
            <w:r w:rsidR="002663DB">
              <w:rPr>
                <w:rFonts w:asciiTheme="minorHAnsi" w:hAnsiTheme="minorHAnsi"/>
                <w:b/>
                <w:bCs/>
                <w:sz w:val="20"/>
                <w:szCs w:val="20"/>
                <w:lang w:val="sr-Latn-RS" w:eastAsia="sr-Latn-RS"/>
              </w:rPr>
              <w:t xml:space="preserve"> </w:t>
            </w:r>
            <w:r w:rsidR="00C12ECB">
              <w:rPr>
                <w:rFonts w:asciiTheme="minorHAnsi" w:hAnsiTheme="minorHAnsi"/>
                <w:b/>
                <w:bCs/>
                <w:sz w:val="20"/>
                <w:szCs w:val="20"/>
                <w:lang w:val="sr-Cyrl-RS" w:eastAsia="sr-Latn-RS"/>
              </w:rPr>
              <w:t>по годинама</w:t>
            </w:r>
          </w:p>
        </w:tc>
      </w:tr>
    </w:tbl>
    <w:p w:rsidR="001538EF" w:rsidRPr="005767EF" w:rsidRDefault="001538EF" w:rsidP="001538EF">
      <w:pPr>
        <w:autoSpaceDE w:val="0"/>
        <w:autoSpaceDN w:val="0"/>
        <w:adjustRightInd w:val="0"/>
        <w:rPr>
          <w:rFonts w:asciiTheme="minorHAnsi" w:eastAsiaTheme="minorHAnsi" w:hAnsiTheme="minorHAnsi"/>
          <w:color w:val="auto"/>
          <w:sz w:val="20"/>
          <w:szCs w:val="20"/>
          <w:lang w:val="sr-Cyrl-BA" w:eastAsia="en-US"/>
        </w:rPr>
      </w:pPr>
    </w:p>
    <w:p w:rsidR="001A0581" w:rsidRPr="001A0581" w:rsidRDefault="001538EF" w:rsidP="00C12ECB">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00A944C8">
        <w:rPr>
          <w:rFonts w:asciiTheme="minorHAnsi" w:eastAsiaTheme="minorHAnsi" w:hAnsiTheme="minorHAnsi"/>
          <w:b/>
          <w:color w:val="auto"/>
          <w:sz w:val="20"/>
          <w:szCs w:val="20"/>
          <w:lang w:val="sr-Cyrl-BA" w:eastAsia="en-US"/>
        </w:rPr>
        <w:t xml:space="preserve">Табела </w:t>
      </w:r>
      <w:r w:rsidR="0034546F">
        <w:rPr>
          <w:rFonts w:asciiTheme="minorHAnsi" w:eastAsiaTheme="minorHAnsi" w:hAnsiTheme="minorHAnsi"/>
          <w:b/>
          <w:color w:val="auto"/>
          <w:sz w:val="20"/>
          <w:szCs w:val="20"/>
          <w:lang w:val="sr-Cyrl-BA" w:eastAsia="en-US"/>
        </w:rPr>
        <w:t>8</w:t>
      </w:r>
    </w:p>
    <w:tbl>
      <w:tblPr>
        <w:tblW w:w="8804" w:type="dxa"/>
        <w:tblInd w:w="93" w:type="dxa"/>
        <w:tblLook w:val="04A0" w:firstRow="1" w:lastRow="0" w:firstColumn="1" w:lastColumn="0" w:noHBand="0" w:noVBand="1"/>
      </w:tblPr>
      <w:tblGrid>
        <w:gridCol w:w="1291"/>
        <w:gridCol w:w="1418"/>
        <w:gridCol w:w="1842"/>
        <w:gridCol w:w="2268"/>
        <w:gridCol w:w="1985"/>
      </w:tblGrid>
      <w:tr w:rsidR="001A0581" w:rsidRPr="001A0581" w:rsidTr="001A0581">
        <w:trPr>
          <w:trHeight w:val="735"/>
        </w:trPr>
        <w:tc>
          <w:tcPr>
            <w:tcW w:w="1291" w:type="dxa"/>
            <w:tcBorders>
              <w:top w:val="single" w:sz="4" w:space="0" w:color="auto"/>
              <w:left w:val="single" w:sz="4" w:space="0" w:color="auto"/>
              <w:bottom w:val="nil"/>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Година</w:t>
            </w:r>
          </w:p>
        </w:tc>
        <w:tc>
          <w:tcPr>
            <w:tcW w:w="1418" w:type="dxa"/>
            <w:tcBorders>
              <w:top w:val="single" w:sz="4" w:space="0" w:color="auto"/>
              <w:left w:val="nil"/>
              <w:bottom w:val="nil"/>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Број кредита</w:t>
            </w:r>
          </w:p>
        </w:tc>
        <w:tc>
          <w:tcPr>
            <w:tcW w:w="1842" w:type="dxa"/>
            <w:tcBorders>
              <w:top w:val="single" w:sz="4" w:space="0" w:color="auto"/>
              <w:left w:val="nil"/>
              <w:bottom w:val="nil"/>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Износ кредита</w:t>
            </w:r>
          </w:p>
        </w:tc>
        <w:tc>
          <w:tcPr>
            <w:tcW w:w="2268" w:type="dxa"/>
            <w:tcBorders>
              <w:top w:val="single" w:sz="4" w:space="0" w:color="auto"/>
              <w:left w:val="nil"/>
              <w:bottom w:val="nil"/>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Износ гаранције</w:t>
            </w:r>
          </w:p>
        </w:tc>
        <w:tc>
          <w:tcPr>
            <w:tcW w:w="1985" w:type="dxa"/>
            <w:tcBorders>
              <w:top w:val="single" w:sz="4" w:space="0" w:color="auto"/>
              <w:left w:val="nil"/>
              <w:bottom w:val="single" w:sz="4" w:space="0" w:color="auto"/>
              <w:right w:val="single" w:sz="4" w:space="0" w:color="auto"/>
            </w:tcBorders>
            <w:shd w:val="clear" w:color="000000" w:fill="8DB4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Учешће</w:t>
            </w:r>
          </w:p>
        </w:tc>
      </w:tr>
      <w:tr w:rsidR="001A0581" w:rsidRPr="001A0581" w:rsidTr="001A0581">
        <w:trPr>
          <w:trHeight w:val="315"/>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2021.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42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14.283.166,88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7.141.583,44</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16,29%</w:t>
            </w:r>
          </w:p>
        </w:tc>
      </w:tr>
      <w:tr w:rsidR="001A0581" w:rsidRPr="001A0581" w:rsidTr="001A0581">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2022.</w:t>
            </w:r>
          </w:p>
        </w:tc>
        <w:tc>
          <w:tcPr>
            <w:tcW w:w="1418"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73</w:t>
            </w:r>
          </w:p>
        </w:tc>
        <w:tc>
          <w:tcPr>
            <w:tcW w:w="1842"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12.365.400,00</w:t>
            </w:r>
          </w:p>
        </w:tc>
        <w:tc>
          <w:tcPr>
            <w:tcW w:w="2268"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6.182.685,00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14,10%</w:t>
            </w:r>
          </w:p>
        </w:tc>
      </w:tr>
      <w:tr w:rsidR="001A0581" w:rsidRPr="001A0581" w:rsidTr="001A0581">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2023.</w:t>
            </w:r>
          </w:p>
        </w:tc>
        <w:tc>
          <w:tcPr>
            <w:tcW w:w="1418"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122</w:t>
            </w:r>
          </w:p>
        </w:tc>
        <w:tc>
          <w:tcPr>
            <w:tcW w:w="1842"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29.762.000,03</w:t>
            </w:r>
          </w:p>
        </w:tc>
        <w:tc>
          <w:tcPr>
            <w:tcW w:w="2268"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14.881.000,03</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33,94%</w:t>
            </w:r>
          </w:p>
        </w:tc>
      </w:tr>
      <w:tr w:rsidR="001A0581" w:rsidRPr="001A0581" w:rsidTr="001A0581">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2024.</w:t>
            </w:r>
          </w:p>
        </w:tc>
        <w:tc>
          <w:tcPr>
            <w:tcW w:w="1418"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center"/>
              <w:rPr>
                <w:rFonts w:ascii="Calibri" w:hAnsi="Calibri"/>
                <w:sz w:val="18"/>
                <w:szCs w:val="18"/>
              </w:rPr>
            </w:pPr>
            <w:r w:rsidRPr="001A0581">
              <w:rPr>
                <w:rFonts w:ascii="Calibri" w:hAnsi="Calibri"/>
                <w:sz w:val="18"/>
                <w:szCs w:val="18"/>
              </w:rPr>
              <w:t>100</w:t>
            </w:r>
          </w:p>
        </w:tc>
        <w:tc>
          <w:tcPr>
            <w:tcW w:w="1842"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31.274.550,00</w:t>
            </w:r>
          </w:p>
        </w:tc>
        <w:tc>
          <w:tcPr>
            <w:tcW w:w="2268"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15.637.275,00</w:t>
            </w:r>
          </w:p>
        </w:tc>
        <w:tc>
          <w:tcPr>
            <w:tcW w:w="1985" w:type="dxa"/>
            <w:tcBorders>
              <w:top w:val="nil"/>
              <w:left w:val="nil"/>
              <w:bottom w:val="single" w:sz="4" w:space="0" w:color="auto"/>
              <w:right w:val="single" w:sz="4" w:space="0" w:color="auto"/>
            </w:tcBorders>
            <w:shd w:val="clear" w:color="auto" w:fill="auto"/>
            <w:vAlign w:val="center"/>
            <w:hideMark/>
          </w:tcPr>
          <w:p w:rsidR="001A0581" w:rsidRPr="001A0581" w:rsidRDefault="001A0581" w:rsidP="001A0581">
            <w:pPr>
              <w:jc w:val="right"/>
              <w:rPr>
                <w:rFonts w:ascii="Calibri" w:hAnsi="Calibri"/>
                <w:sz w:val="18"/>
                <w:szCs w:val="18"/>
              </w:rPr>
            </w:pPr>
            <w:r w:rsidRPr="001A0581">
              <w:rPr>
                <w:rFonts w:ascii="Calibri" w:hAnsi="Calibri"/>
                <w:sz w:val="18"/>
                <w:szCs w:val="18"/>
              </w:rPr>
              <w:t>35,67%</w:t>
            </w:r>
          </w:p>
        </w:tc>
      </w:tr>
      <w:tr w:rsidR="001A0581" w:rsidRPr="001A0581" w:rsidTr="001A0581">
        <w:trPr>
          <w:trHeight w:val="315"/>
        </w:trPr>
        <w:tc>
          <w:tcPr>
            <w:tcW w:w="1291" w:type="dxa"/>
            <w:tcBorders>
              <w:top w:val="nil"/>
              <w:left w:val="single" w:sz="4" w:space="0" w:color="auto"/>
              <w:bottom w:val="single" w:sz="4" w:space="0" w:color="auto"/>
              <w:right w:val="single" w:sz="4" w:space="0" w:color="auto"/>
            </w:tcBorders>
            <w:shd w:val="clear" w:color="000000" w:fill="8DB3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Укупно</w:t>
            </w:r>
          </w:p>
        </w:tc>
        <w:tc>
          <w:tcPr>
            <w:tcW w:w="1418"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center"/>
              <w:rPr>
                <w:rFonts w:ascii="Calibri" w:hAnsi="Calibri"/>
                <w:b/>
                <w:bCs/>
                <w:sz w:val="18"/>
                <w:szCs w:val="18"/>
              </w:rPr>
            </w:pPr>
            <w:r w:rsidRPr="001A0581">
              <w:rPr>
                <w:rFonts w:ascii="Calibri" w:hAnsi="Calibri"/>
                <w:b/>
                <w:bCs/>
                <w:sz w:val="18"/>
                <w:szCs w:val="18"/>
              </w:rPr>
              <w:t>337</w:t>
            </w:r>
          </w:p>
        </w:tc>
        <w:tc>
          <w:tcPr>
            <w:tcW w:w="1842"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right"/>
              <w:rPr>
                <w:rFonts w:ascii="Calibri" w:hAnsi="Calibri"/>
                <w:b/>
                <w:bCs/>
                <w:sz w:val="18"/>
                <w:szCs w:val="18"/>
              </w:rPr>
            </w:pPr>
            <w:r w:rsidRPr="001A0581">
              <w:rPr>
                <w:rFonts w:ascii="Calibri" w:hAnsi="Calibri"/>
                <w:b/>
                <w:bCs/>
                <w:sz w:val="18"/>
                <w:szCs w:val="18"/>
              </w:rPr>
              <w:t>87.685.116,91</w:t>
            </w:r>
          </w:p>
        </w:tc>
        <w:tc>
          <w:tcPr>
            <w:tcW w:w="2268"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right"/>
              <w:rPr>
                <w:rFonts w:ascii="Calibri" w:hAnsi="Calibri"/>
                <w:b/>
                <w:bCs/>
                <w:sz w:val="18"/>
                <w:szCs w:val="18"/>
              </w:rPr>
            </w:pPr>
            <w:r w:rsidRPr="001A0581">
              <w:rPr>
                <w:rFonts w:ascii="Calibri" w:hAnsi="Calibri"/>
                <w:b/>
                <w:bCs/>
                <w:sz w:val="18"/>
                <w:szCs w:val="18"/>
              </w:rPr>
              <w:t>43.842.543,47</w:t>
            </w:r>
          </w:p>
        </w:tc>
        <w:tc>
          <w:tcPr>
            <w:tcW w:w="1985" w:type="dxa"/>
            <w:tcBorders>
              <w:top w:val="nil"/>
              <w:left w:val="nil"/>
              <w:bottom w:val="single" w:sz="4" w:space="0" w:color="auto"/>
              <w:right w:val="single" w:sz="4" w:space="0" w:color="auto"/>
            </w:tcBorders>
            <w:shd w:val="clear" w:color="000000" w:fill="8DB3E2"/>
            <w:vAlign w:val="center"/>
            <w:hideMark/>
          </w:tcPr>
          <w:p w:rsidR="001A0581" w:rsidRPr="001A0581" w:rsidRDefault="001A0581" w:rsidP="001A0581">
            <w:pPr>
              <w:jc w:val="right"/>
              <w:rPr>
                <w:rFonts w:ascii="Calibri" w:hAnsi="Calibri"/>
                <w:b/>
                <w:bCs/>
                <w:sz w:val="18"/>
                <w:szCs w:val="18"/>
              </w:rPr>
            </w:pPr>
            <w:r w:rsidRPr="001A0581">
              <w:rPr>
                <w:rFonts w:ascii="Calibri" w:hAnsi="Calibri"/>
                <w:b/>
                <w:bCs/>
                <w:sz w:val="18"/>
                <w:szCs w:val="18"/>
              </w:rPr>
              <w:t>100,00%</w:t>
            </w:r>
          </w:p>
        </w:tc>
      </w:tr>
    </w:tbl>
    <w:p w:rsidR="00593546" w:rsidRDefault="00593546" w:rsidP="001538EF">
      <w:pPr>
        <w:autoSpaceDE w:val="0"/>
        <w:autoSpaceDN w:val="0"/>
        <w:adjustRightInd w:val="0"/>
        <w:rPr>
          <w:rFonts w:asciiTheme="minorHAnsi" w:eastAsiaTheme="minorHAnsi" w:hAnsiTheme="minorHAnsi"/>
          <w:color w:val="auto"/>
          <w:sz w:val="20"/>
          <w:szCs w:val="20"/>
          <w:lang w:val="sr-Cyrl-BA" w:eastAsia="en-US"/>
        </w:rPr>
      </w:pPr>
    </w:p>
    <w:p w:rsidR="001538EF" w:rsidRPr="005767EF" w:rsidRDefault="00836834" w:rsidP="001538EF">
      <w:pPr>
        <w:autoSpaceDE w:val="0"/>
        <w:autoSpaceDN w:val="0"/>
        <w:adjustRightInd w:val="0"/>
        <w:rPr>
          <w:rFonts w:asciiTheme="minorHAnsi" w:hAnsiTheme="minorHAnsi"/>
          <w:sz w:val="20"/>
          <w:szCs w:val="20"/>
          <w:lang w:val="sr-Cyrl-BA" w:eastAsia="sr-Latn-RS"/>
        </w:rPr>
      </w:pPr>
      <w:r>
        <w:rPr>
          <w:rFonts w:asciiTheme="minorHAnsi" w:eastAsiaTheme="minorHAnsi" w:hAnsiTheme="minorHAnsi"/>
          <w:color w:val="auto"/>
          <w:sz w:val="20"/>
          <w:szCs w:val="20"/>
          <w:lang w:val="sr-Cyrl-BA" w:eastAsia="en-US"/>
        </w:rPr>
        <w:t>На</w:t>
      </w:r>
      <w:r w:rsidR="00C12ECB">
        <w:rPr>
          <w:rFonts w:asciiTheme="minorHAnsi" w:eastAsiaTheme="minorHAnsi" w:hAnsiTheme="minorHAnsi"/>
          <w:color w:val="auto"/>
          <w:sz w:val="20"/>
          <w:szCs w:val="20"/>
          <w:lang w:val="sr-Cyrl-BA" w:eastAsia="en-US"/>
        </w:rPr>
        <w:t xml:space="preserve"> </w:t>
      </w:r>
      <w:r w:rsidR="001538EF" w:rsidRPr="005767EF">
        <w:rPr>
          <w:rFonts w:asciiTheme="minorHAnsi" w:eastAsiaTheme="minorHAnsi" w:hAnsiTheme="minorHAnsi"/>
          <w:color w:val="auto"/>
          <w:sz w:val="20"/>
          <w:szCs w:val="20"/>
          <w:lang w:val="sr-Cyrl-BA" w:eastAsia="en-US"/>
        </w:rPr>
        <w:t>основу потписаних уговора о гарантовању кредитног п</w:t>
      </w:r>
      <w:r>
        <w:rPr>
          <w:rFonts w:asciiTheme="minorHAnsi" w:eastAsiaTheme="minorHAnsi" w:hAnsiTheme="minorHAnsi"/>
          <w:color w:val="auto"/>
          <w:sz w:val="20"/>
          <w:szCs w:val="20"/>
          <w:lang w:val="sr-Cyrl-BA" w:eastAsia="en-US"/>
        </w:rPr>
        <w:t>ортфеља финансијских посредника,</w:t>
      </w:r>
      <w:r w:rsidR="00C12ECB">
        <w:rPr>
          <w:rFonts w:asciiTheme="minorHAnsi" w:eastAsiaTheme="minorHAnsi" w:hAnsiTheme="minorHAnsi"/>
          <w:color w:val="auto"/>
          <w:sz w:val="20"/>
          <w:szCs w:val="20"/>
          <w:lang w:val="sr-Cyrl-BA" w:eastAsia="en-US"/>
        </w:rPr>
        <w:t xml:space="preserve"> </w:t>
      </w:r>
      <w:r w:rsidR="00BC6981">
        <w:rPr>
          <w:rFonts w:asciiTheme="minorHAnsi" w:eastAsiaTheme="minorHAnsi" w:hAnsiTheme="minorHAnsi"/>
          <w:color w:val="auto"/>
          <w:sz w:val="20"/>
          <w:szCs w:val="20"/>
          <w:lang w:val="sr-Cyrl-BA" w:eastAsia="en-US"/>
        </w:rPr>
        <w:t xml:space="preserve">за </w:t>
      </w:r>
      <w:r w:rsidR="001A0581">
        <w:rPr>
          <w:rFonts w:asciiTheme="minorHAnsi" w:eastAsiaTheme="minorHAnsi" w:hAnsiTheme="minorHAnsi"/>
          <w:color w:val="auto"/>
          <w:sz w:val="20"/>
          <w:szCs w:val="20"/>
          <w:lang w:val="sr-Cyrl-BA" w:eastAsia="en-US"/>
        </w:rPr>
        <w:t>четири</w:t>
      </w:r>
      <w:r w:rsidR="00BC6981">
        <w:rPr>
          <w:rFonts w:asciiTheme="minorHAnsi" w:eastAsiaTheme="minorHAnsi" w:hAnsiTheme="minorHAnsi"/>
          <w:color w:val="auto"/>
          <w:sz w:val="20"/>
          <w:szCs w:val="20"/>
          <w:lang w:val="sr-Cyrl-BA" w:eastAsia="en-US"/>
        </w:rPr>
        <w:t xml:space="preserve"> године</w:t>
      </w:r>
      <w:r>
        <w:rPr>
          <w:rFonts w:asciiTheme="minorHAnsi" w:eastAsiaTheme="minorHAnsi" w:hAnsiTheme="minorHAnsi"/>
          <w:color w:val="auto"/>
          <w:sz w:val="20"/>
          <w:szCs w:val="20"/>
          <w:lang w:val="sr-Cyrl-BA" w:eastAsia="en-US"/>
        </w:rPr>
        <w:t xml:space="preserve"> је </w:t>
      </w:r>
      <w:r w:rsidR="001538EF" w:rsidRPr="005767EF">
        <w:rPr>
          <w:rFonts w:asciiTheme="minorHAnsi" w:eastAsiaTheme="minorHAnsi" w:hAnsiTheme="minorHAnsi"/>
          <w:color w:val="auto"/>
          <w:sz w:val="20"/>
          <w:szCs w:val="20"/>
          <w:lang w:val="sr-Cyrl-BA" w:eastAsia="en-US"/>
        </w:rPr>
        <w:t xml:space="preserve">издано </w:t>
      </w:r>
      <w:r w:rsidR="00373796">
        <w:rPr>
          <w:rFonts w:asciiTheme="minorHAnsi" w:eastAsiaTheme="minorHAnsi" w:hAnsiTheme="minorHAnsi"/>
          <w:color w:val="auto"/>
          <w:sz w:val="20"/>
          <w:szCs w:val="20"/>
          <w:lang w:val="sr-Cyrl-BA" w:eastAsia="en-US"/>
        </w:rPr>
        <w:t>3</w:t>
      </w:r>
      <w:r w:rsidR="00C12ECB">
        <w:rPr>
          <w:rFonts w:asciiTheme="minorHAnsi" w:eastAsiaTheme="minorHAnsi" w:hAnsiTheme="minorHAnsi"/>
          <w:color w:val="auto"/>
          <w:sz w:val="20"/>
          <w:szCs w:val="20"/>
          <w:lang w:val="sr-Cyrl-BA" w:eastAsia="en-US"/>
        </w:rPr>
        <w:t xml:space="preserve">37 гаранција у износу од </w:t>
      </w:r>
      <w:r w:rsidR="00373796">
        <w:rPr>
          <w:rFonts w:asciiTheme="minorHAnsi" w:eastAsiaTheme="minorHAnsi" w:hAnsiTheme="minorHAnsi"/>
          <w:color w:val="auto"/>
          <w:sz w:val="20"/>
          <w:szCs w:val="20"/>
          <w:lang w:val="sr-Cyrl-BA" w:eastAsia="en-US"/>
        </w:rPr>
        <w:t xml:space="preserve">43.842.543,47 </w:t>
      </w:r>
      <w:r w:rsidR="001538EF" w:rsidRPr="005767EF">
        <w:rPr>
          <w:rFonts w:asciiTheme="minorHAnsi" w:eastAsiaTheme="minorHAnsi" w:hAnsiTheme="minorHAnsi"/>
          <w:color w:val="auto"/>
          <w:sz w:val="20"/>
          <w:szCs w:val="20"/>
          <w:lang w:val="sr-Cyrl-BA" w:eastAsia="en-US"/>
        </w:rPr>
        <w:t>КМ</w:t>
      </w:r>
      <w:r w:rsidR="00C12ECB">
        <w:rPr>
          <w:rFonts w:asciiTheme="minorHAnsi" w:eastAsiaTheme="minorHAnsi" w:hAnsiTheme="minorHAnsi"/>
          <w:color w:val="auto"/>
          <w:sz w:val="20"/>
          <w:szCs w:val="20"/>
          <w:lang w:val="sr-Cyrl-BA" w:eastAsia="en-US"/>
        </w:rPr>
        <w:t>,</w:t>
      </w:r>
      <w:r w:rsidR="001538EF" w:rsidRPr="005767EF">
        <w:rPr>
          <w:rFonts w:asciiTheme="minorHAnsi" w:eastAsiaTheme="minorHAnsi" w:hAnsiTheme="minorHAnsi"/>
          <w:color w:val="auto"/>
          <w:sz w:val="20"/>
          <w:szCs w:val="20"/>
          <w:lang w:val="sr-Cyrl-BA" w:eastAsia="en-US"/>
        </w:rPr>
        <w:t xml:space="preserve"> чиме је подржано </w:t>
      </w:r>
      <w:r w:rsidR="00373796">
        <w:rPr>
          <w:rFonts w:asciiTheme="minorHAnsi" w:eastAsiaTheme="minorHAnsi" w:hAnsiTheme="minorHAnsi"/>
          <w:color w:val="auto"/>
          <w:sz w:val="20"/>
          <w:szCs w:val="20"/>
          <w:lang w:val="sr-Cyrl-BA" w:eastAsia="en-US"/>
        </w:rPr>
        <w:t>87.685.116,91</w:t>
      </w:r>
      <w:r w:rsidR="00C12ECB">
        <w:rPr>
          <w:rFonts w:asciiTheme="minorHAnsi" w:eastAsiaTheme="minorHAnsi" w:hAnsiTheme="minorHAnsi"/>
          <w:color w:val="auto"/>
          <w:sz w:val="20"/>
          <w:szCs w:val="20"/>
          <w:lang w:val="sr-Cyrl-BA" w:eastAsia="en-US"/>
        </w:rPr>
        <w:t xml:space="preserve"> </w:t>
      </w:r>
      <w:r w:rsidR="001538EF" w:rsidRPr="005767EF">
        <w:rPr>
          <w:rFonts w:asciiTheme="minorHAnsi" w:eastAsiaTheme="minorHAnsi" w:hAnsiTheme="minorHAnsi"/>
          <w:color w:val="auto"/>
          <w:sz w:val="20"/>
          <w:szCs w:val="20"/>
          <w:lang w:val="sr-Cyrl-BA" w:eastAsia="en-US"/>
        </w:rPr>
        <w:t>КМ кредитних пласмана финансијских посредника.</w:t>
      </w:r>
      <w:r w:rsidR="00C12ECB">
        <w:rPr>
          <w:rFonts w:asciiTheme="minorHAnsi" w:eastAsiaTheme="minorHAnsi" w:hAnsiTheme="minorHAnsi"/>
          <w:color w:val="auto"/>
          <w:sz w:val="20"/>
          <w:szCs w:val="20"/>
          <w:lang w:val="sr-Cyrl-BA" w:eastAsia="en-US"/>
        </w:rPr>
        <w:t xml:space="preserve"> Табела показује </w:t>
      </w:r>
      <w:r w:rsidR="00373796">
        <w:rPr>
          <w:rFonts w:asciiTheme="minorHAnsi" w:eastAsiaTheme="minorHAnsi" w:hAnsiTheme="minorHAnsi"/>
          <w:color w:val="auto"/>
          <w:sz w:val="20"/>
          <w:szCs w:val="20"/>
          <w:lang w:val="sr-Cyrl-BA" w:eastAsia="en-US"/>
        </w:rPr>
        <w:t>тенденцију</w:t>
      </w:r>
      <w:r w:rsidR="00C12ECB">
        <w:rPr>
          <w:rFonts w:asciiTheme="minorHAnsi" w:eastAsiaTheme="minorHAnsi" w:hAnsiTheme="minorHAnsi"/>
          <w:color w:val="auto"/>
          <w:sz w:val="20"/>
          <w:szCs w:val="20"/>
          <w:lang w:val="sr-Cyrl-BA" w:eastAsia="en-US"/>
        </w:rPr>
        <w:t xml:space="preserve"> раст</w:t>
      </w:r>
      <w:r w:rsidR="00373796">
        <w:rPr>
          <w:rFonts w:asciiTheme="minorHAnsi" w:eastAsiaTheme="minorHAnsi" w:hAnsiTheme="minorHAnsi"/>
          <w:color w:val="auto"/>
          <w:sz w:val="20"/>
          <w:szCs w:val="20"/>
          <w:lang w:val="sr-Cyrl-BA" w:eastAsia="en-US"/>
        </w:rPr>
        <w:t>а пласираних средстава</w:t>
      </w:r>
      <w:r w:rsidR="00C12ECB">
        <w:rPr>
          <w:rFonts w:asciiTheme="minorHAnsi" w:eastAsiaTheme="minorHAnsi" w:hAnsiTheme="minorHAnsi"/>
          <w:color w:val="auto"/>
          <w:sz w:val="20"/>
          <w:szCs w:val="20"/>
          <w:lang w:val="sr-Cyrl-BA" w:eastAsia="en-US"/>
        </w:rPr>
        <w:t xml:space="preserve">, што говори о томе да се финансијски посредници све више окрећу овом начину одобравања кредита, с обзиром на бројне предности у виду скраћења поступка одобравања и задржавања </w:t>
      </w:r>
      <w:r w:rsidR="00BC6981">
        <w:rPr>
          <w:rFonts w:asciiTheme="minorHAnsi" w:eastAsiaTheme="minorHAnsi" w:hAnsiTheme="minorHAnsi"/>
          <w:color w:val="auto"/>
          <w:sz w:val="20"/>
          <w:szCs w:val="20"/>
          <w:lang w:val="sr-Cyrl-BA" w:eastAsia="en-US"/>
        </w:rPr>
        <w:t xml:space="preserve">контроле у погледу кредитне анализе клијента. </w:t>
      </w:r>
      <w:r w:rsidR="00373796">
        <w:rPr>
          <w:rFonts w:asciiTheme="minorHAnsi" w:eastAsiaTheme="minorHAnsi" w:hAnsiTheme="minorHAnsi"/>
          <w:color w:val="auto"/>
          <w:sz w:val="20"/>
          <w:szCs w:val="20"/>
          <w:lang w:val="sr-Cyrl-BA" w:eastAsia="en-US"/>
        </w:rPr>
        <w:t>Посматрано по годинама, т</w:t>
      </w:r>
      <w:r w:rsidR="00BC6981">
        <w:rPr>
          <w:rFonts w:asciiTheme="minorHAnsi" w:eastAsiaTheme="minorHAnsi" w:hAnsiTheme="minorHAnsi"/>
          <w:color w:val="auto"/>
          <w:sz w:val="20"/>
          <w:szCs w:val="20"/>
          <w:lang w:val="sr-Cyrl-BA" w:eastAsia="en-US"/>
        </w:rPr>
        <w:t>оком 202</w:t>
      </w:r>
      <w:r w:rsidR="00373796">
        <w:rPr>
          <w:rFonts w:asciiTheme="minorHAnsi" w:eastAsiaTheme="minorHAnsi" w:hAnsiTheme="minorHAnsi"/>
          <w:color w:val="auto"/>
          <w:sz w:val="20"/>
          <w:szCs w:val="20"/>
          <w:lang w:val="sr-Cyrl-BA" w:eastAsia="en-US"/>
        </w:rPr>
        <w:t>4. године је пласиран</w:t>
      </w:r>
      <w:r w:rsidR="001538EF" w:rsidRPr="005767EF">
        <w:rPr>
          <w:rFonts w:asciiTheme="minorHAnsi" w:eastAsiaTheme="minorHAnsi" w:hAnsiTheme="minorHAnsi"/>
          <w:color w:val="auto"/>
          <w:sz w:val="20"/>
          <w:szCs w:val="20"/>
          <w:lang w:val="sr-Cyrl-BA" w:eastAsia="en-US"/>
        </w:rPr>
        <w:t xml:space="preserve"> </w:t>
      </w:r>
      <w:r w:rsidR="00373796">
        <w:rPr>
          <w:rFonts w:asciiTheme="minorHAnsi" w:eastAsiaTheme="minorHAnsi" w:hAnsiTheme="minorHAnsi"/>
          <w:color w:val="auto"/>
          <w:sz w:val="20"/>
          <w:szCs w:val="20"/>
          <w:lang w:val="sr-Cyrl-BA" w:eastAsia="en-US"/>
        </w:rPr>
        <w:t>највећи износ кредитних средстава, односно гаранција</w:t>
      </w:r>
      <w:r w:rsidR="00593546">
        <w:rPr>
          <w:rFonts w:asciiTheme="minorHAnsi" w:eastAsiaTheme="minorHAnsi" w:hAnsiTheme="minorHAnsi"/>
          <w:color w:val="auto"/>
          <w:sz w:val="20"/>
          <w:szCs w:val="20"/>
          <w:lang w:val="sr-Cyrl-BA" w:eastAsia="en-US"/>
        </w:rPr>
        <w:t>.</w:t>
      </w:r>
    </w:p>
    <w:p w:rsidR="001538EF" w:rsidRPr="005767EF" w:rsidRDefault="001538EF" w:rsidP="00BC6981">
      <w:pPr>
        <w:autoSpaceDE w:val="0"/>
        <w:autoSpaceDN w:val="0"/>
        <w:adjustRightInd w:val="0"/>
        <w:rPr>
          <w:rFonts w:asciiTheme="minorHAnsi" w:eastAsiaTheme="minorHAnsi" w:hAnsiTheme="minorHAnsi"/>
          <w:color w:val="FF0000"/>
          <w:sz w:val="20"/>
          <w:szCs w:val="20"/>
          <w:lang w:val="sr-Cyrl-BA" w:eastAsia="en-US"/>
        </w:rPr>
      </w:pPr>
    </w:p>
    <w:p w:rsidR="001538EF" w:rsidRPr="005767EF" w:rsidRDefault="001538EF" w:rsidP="00125ABA">
      <w:pPr>
        <w:autoSpaceDE w:val="0"/>
        <w:autoSpaceDN w:val="0"/>
        <w:adjustRightInd w:val="0"/>
        <w:jc w:val="center"/>
        <w:rPr>
          <w:rFonts w:asciiTheme="minorHAnsi" w:eastAsiaTheme="minorHAnsi" w:hAnsiTheme="minorHAnsi"/>
          <w:b/>
          <w:color w:val="auto"/>
          <w:sz w:val="20"/>
          <w:szCs w:val="20"/>
          <w:lang w:val="sr-Cyrl-BA" w:eastAsia="en-US"/>
        </w:rPr>
      </w:pPr>
      <w:r w:rsidRPr="005767EF">
        <w:rPr>
          <w:rFonts w:asciiTheme="minorHAnsi" w:eastAsiaTheme="minorHAnsi" w:hAnsiTheme="minorHAnsi"/>
          <w:b/>
          <w:color w:val="auto"/>
          <w:sz w:val="20"/>
          <w:szCs w:val="20"/>
          <w:lang w:val="sr-Cyrl-BA" w:eastAsia="en-US"/>
        </w:rPr>
        <w:t>Преглед реализа</w:t>
      </w:r>
      <w:r w:rsidR="00373796">
        <w:rPr>
          <w:rFonts w:asciiTheme="minorHAnsi" w:eastAsiaTheme="minorHAnsi" w:hAnsiTheme="minorHAnsi"/>
          <w:b/>
          <w:color w:val="auto"/>
          <w:sz w:val="20"/>
          <w:szCs w:val="20"/>
          <w:lang w:val="sr-Cyrl-BA" w:eastAsia="en-US"/>
        </w:rPr>
        <w:t>ције уговореног кредитног портфеља</w:t>
      </w:r>
      <w:r w:rsidRPr="005767EF">
        <w:rPr>
          <w:rFonts w:asciiTheme="minorHAnsi" w:eastAsiaTheme="minorHAnsi" w:hAnsiTheme="minorHAnsi"/>
          <w:b/>
          <w:color w:val="auto"/>
          <w:sz w:val="20"/>
          <w:szCs w:val="20"/>
          <w:lang w:val="sr-Cyrl-BA" w:eastAsia="en-US"/>
        </w:rPr>
        <w:t xml:space="preserve"> на дан 31.12.202</w:t>
      </w:r>
      <w:r w:rsidR="00373796">
        <w:rPr>
          <w:rFonts w:asciiTheme="minorHAnsi" w:eastAsiaTheme="minorHAnsi" w:hAnsiTheme="minorHAnsi"/>
          <w:b/>
          <w:color w:val="auto"/>
          <w:sz w:val="20"/>
          <w:szCs w:val="20"/>
          <w:lang w:val="sr-Cyrl-BA" w:eastAsia="en-US"/>
        </w:rPr>
        <w:t>4</w:t>
      </w:r>
      <w:r w:rsidRPr="005767EF">
        <w:rPr>
          <w:rFonts w:asciiTheme="minorHAnsi" w:eastAsiaTheme="minorHAnsi" w:hAnsiTheme="minorHAnsi"/>
          <w:b/>
          <w:color w:val="auto"/>
          <w:sz w:val="20"/>
          <w:szCs w:val="20"/>
          <w:lang w:val="sr-Cyrl-BA" w:eastAsia="en-US"/>
        </w:rPr>
        <w:t>. године</w:t>
      </w:r>
    </w:p>
    <w:p w:rsidR="001538EF" w:rsidRPr="00373796" w:rsidRDefault="00BC6981" w:rsidP="001538EF">
      <w:pPr>
        <w:autoSpaceDE w:val="0"/>
        <w:autoSpaceDN w:val="0"/>
        <w:adjustRightInd w:val="0"/>
        <w:rPr>
          <w:rFonts w:asciiTheme="minorHAnsi" w:eastAsiaTheme="minorHAnsi" w:hAnsiTheme="minorHAnsi"/>
          <w:b/>
          <w:color w:val="auto"/>
          <w:sz w:val="20"/>
          <w:szCs w:val="20"/>
          <w:lang w:val="sr-Cyrl-BA" w:eastAsia="en-US"/>
        </w:rPr>
      </w:pP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sidR="00A944C8">
        <w:rPr>
          <w:rFonts w:asciiTheme="minorHAnsi" w:eastAsiaTheme="minorHAnsi" w:hAnsiTheme="minorHAnsi"/>
          <w:b/>
          <w:color w:val="auto"/>
          <w:sz w:val="20"/>
          <w:szCs w:val="20"/>
          <w:lang w:val="sr-Cyrl-BA" w:eastAsia="en-US"/>
        </w:rPr>
        <w:t xml:space="preserve">Табела </w:t>
      </w:r>
      <w:r w:rsidR="0034546F">
        <w:rPr>
          <w:rFonts w:asciiTheme="minorHAnsi" w:eastAsiaTheme="minorHAnsi" w:hAnsiTheme="minorHAnsi"/>
          <w:b/>
          <w:color w:val="auto"/>
          <w:sz w:val="20"/>
          <w:szCs w:val="20"/>
          <w:lang w:val="sr-Cyrl-BA" w:eastAsia="en-US"/>
        </w:rPr>
        <w:t>9</w:t>
      </w:r>
    </w:p>
    <w:tbl>
      <w:tblPr>
        <w:tblW w:w="8804" w:type="dxa"/>
        <w:tblInd w:w="93" w:type="dxa"/>
        <w:tblLook w:val="04A0" w:firstRow="1" w:lastRow="0" w:firstColumn="1" w:lastColumn="0" w:noHBand="0" w:noVBand="1"/>
      </w:tblPr>
      <w:tblGrid>
        <w:gridCol w:w="1719"/>
        <w:gridCol w:w="1840"/>
        <w:gridCol w:w="1134"/>
        <w:gridCol w:w="1649"/>
        <w:gridCol w:w="1271"/>
        <w:gridCol w:w="1191"/>
      </w:tblGrid>
      <w:tr w:rsidR="00373796" w:rsidRPr="00373796" w:rsidTr="00373796">
        <w:trPr>
          <w:trHeight w:val="720"/>
        </w:trPr>
        <w:tc>
          <w:tcPr>
            <w:tcW w:w="1719"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Финансијски посредник</w:t>
            </w:r>
          </w:p>
        </w:tc>
        <w:tc>
          <w:tcPr>
            <w:tcW w:w="1840" w:type="dxa"/>
            <w:tcBorders>
              <w:top w:val="single" w:sz="4" w:space="0" w:color="auto"/>
              <w:left w:val="nil"/>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Портфељ</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Датум уговора</w:t>
            </w:r>
          </w:p>
        </w:tc>
        <w:tc>
          <w:tcPr>
            <w:tcW w:w="1649" w:type="dxa"/>
            <w:tcBorders>
              <w:top w:val="single" w:sz="4" w:space="0" w:color="auto"/>
              <w:left w:val="nil"/>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Уговорени обим кредитног портфеља ( КМ)</w:t>
            </w:r>
          </w:p>
        </w:tc>
        <w:tc>
          <w:tcPr>
            <w:tcW w:w="1271" w:type="dxa"/>
            <w:tcBorders>
              <w:top w:val="single" w:sz="4" w:space="0" w:color="auto"/>
              <w:left w:val="nil"/>
              <w:bottom w:val="single" w:sz="4" w:space="0" w:color="auto"/>
              <w:right w:val="single" w:sz="4" w:space="0" w:color="auto"/>
            </w:tcBorders>
            <w:shd w:val="clear" w:color="000000" w:fill="8DB4E2"/>
            <w:vAlign w:val="center"/>
            <w:hideMark/>
          </w:tcPr>
          <w:p w:rsidR="00373796" w:rsidRPr="00373796" w:rsidRDefault="00373796" w:rsidP="00373796">
            <w:pPr>
              <w:jc w:val="left"/>
              <w:rPr>
                <w:rFonts w:ascii="Calibri" w:hAnsi="Calibri"/>
                <w:b/>
                <w:bCs/>
                <w:sz w:val="18"/>
                <w:szCs w:val="18"/>
              </w:rPr>
            </w:pPr>
            <w:r w:rsidRPr="00373796">
              <w:rPr>
                <w:rFonts w:ascii="Calibri" w:hAnsi="Calibri"/>
                <w:b/>
                <w:bCs/>
                <w:sz w:val="18"/>
                <w:szCs w:val="18"/>
              </w:rPr>
              <w:t>Реализовани кредитни портфолио</w:t>
            </w:r>
          </w:p>
        </w:tc>
        <w:tc>
          <w:tcPr>
            <w:tcW w:w="1191" w:type="dxa"/>
            <w:tcBorders>
              <w:top w:val="single" w:sz="4" w:space="0" w:color="auto"/>
              <w:left w:val="nil"/>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Стопа реализације</w:t>
            </w:r>
          </w:p>
        </w:tc>
      </w:tr>
      <w:tr w:rsidR="00373796" w:rsidRPr="00373796" w:rsidTr="00373796">
        <w:trPr>
          <w:trHeight w:val="315"/>
        </w:trPr>
        <w:tc>
          <w:tcPr>
            <w:tcW w:w="1719" w:type="dxa"/>
            <w:vMerge w:val="restart"/>
            <w:tcBorders>
              <w:top w:val="nil"/>
              <w:left w:val="single" w:sz="4" w:space="0" w:color="auto"/>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Procredit bank d.d. Bosna i Hercegovina</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12.11.2021.</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40.000.000,00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39.923.000,01</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99,81%</w:t>
            </w:r>
          </w:p>
        </w:tc>
      </w:tr>
      <w:tr w:rsidR="00373796" w:rsidRPr="00373796" w:rsidTr="00373796">
        <w:trPr>
          <w:trHeight w:val="720"/>
        </w:trPr>
        <w:tc>
          <w:tcPr>
            <w:tcW w:w="1719" w:type="dxa"/>
            <w:vMerge/>
            <w:tcBorders>
              <w:top w:val="nil"/>
              <w:left w:val="single" w:sz="4" w:space="0" w:color="auto"/>
              <w:bottom w:val="single" w:sz="4" w:space="0" w:color="auto"/>
              <w:right w:val="single" w:sz="4" w:space="0" w:color="auto"/>
            </w:tcBorders>
            <w:vAlign w:val="center"/>
            <w:hideMark/>
          </w:tcPr>
          <w:p w:rsidR="00373796" w:rsidRPr="00373796" w:rsidRDefault="00373796" w:rsidP="00373796">
            <w:pPr>
              <w:jc w:val="left"/>
              <w:rPr>
                <w:rFonts w:ascii="Calibri" w:hAnsi="Calibri"/>
                <w:sz w:val="18"/>
                <w:szCs w:val="18"/>
              </w:rPr>
            </w:pP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Портфељ за обновљиве изворе енергије</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19.04.2023.</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20.000.000,00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9.848.000,00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49,24%</w:t>
            </w:r>
          </w:p>
        </w:tc>
      </w:tr>
      <w:tr w:rsidR="00373796" w:rsidRPr="00373796" w:rsidTr="00373796">
        <w:trPr>
          <w:trHeight w:val="390"/>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xml:space="preserve">УКУПНО </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60.000.000,00</w:t>
            </w:r>
          </w:p>
        </w:tc>
        <w:tc>
          <w:tcPr>
            <w:tcW w:w="1271"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49.771.000,01</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82,95%</w:t>
            </w:r>
          </w:p>
        </w:tc>
      </w:tr>
      <w:tr w:rsidR="00373796" w:rsidRPr="00373796" w:rsidTr="00373796">
        <w:trPr>
          <w:trHeight w:val="315"/>
        </w:trPr>
        <w:tc>
          <w:tcPr>
            <w:tcW w:w="1719" w:type="dxa"/>
            <w:vMerge w:val="restart"/>
            <w:tcBorders>
              <w:top w:val="nil"/>
              <w:left w:val="single" w:sz="4" w:space="0" w:color="auto"/>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Unicredit bank a.d. Banja Luka</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02.08.2021.</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AE0DAF" w:rsidP="00373796">
            <w:pPr>
              <w:jc w:val="right"/>
              <w:rPr>
                <w:rFonts w:ascii="Calibri" w:hAnsi="Calibri"/>
                <w:sz w:val="18"/>
                <w:szCs w:val="18"/>
              </w:rPr>
            </w:pPr>
            <w:r>
              <w:rPr>
                <w:rFonts w:ascii="Calibri" w:hAnsi="Calibri"/>
                <w:sz w:val="18"/>
                <w:szCs w:val="18"/>
                <w:lang w:val="sr-Cyrl-RS"/>
              </w:rPr>
              <w:t>4</w:t>
            </w:r>
            <w:r w:rsidR="00373796" w:rsidRPr="00373796">
              <w:rPr>
                <w:rFonts w:ascii="Calibri" w:hAnsi="Calibri"/>
                <w:sz w:val="18"/>
                <w:szCs w:val="18"/>
              </w:rPr>
              <w:t>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29.038.566,88</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AE0DAF" w:rsidP="00373796">
            <w:pPr>
              <w:jc w:val="right"/>
              <w:rPr>
                <w:rFonts w:ascii="Calibri" w:hAnsi="Calibri"/>
                <w:sz w:val="18"/>
                <w:szCs w:val="18"/>
              </w:rPr>
            </w:pPr>
            <w:r>
              <w:rPr>
                <w:rFonts w:ascii="Calibri" w:hAnsi="Calibri"/>
                <w:sz w:val="18"/>
                <w:szCs w:val="18"/>
                <w:lang w:val="sr-Cyrl-RS"/>
              </w:rPr>
              <w:t>72,60</w:t>
            </w:r>
            <w:r w:rsidR="00373796" w:rsidRPr="00373796">
              <w:rPr>
                <w:rFonts w:ascii="Calibri" w:hAnsi="Calibri"/>
                <w:sz w:val="18"/>
                <w:szCs w:val="18"/>
              </w:rPr>
              <w:t>%</w:t>
            </w:r>
          </w:p>
        </w:tc>
      </w:tr>
      <w:tr w:rsidR="00373796" w:rsidRPr="00373796" w:rsidTr="00373796">
        <w:trPr>
          <w:trHeight w:val="390"/>
        </w:trPr>
        <w:tc>
          <w:tcPr>
            <w:tcW w:w="1719" w:type="dxa"/>
            <w:vMerge/>
            <w:tcBorders>
              <w:top w:val="nil"/>
              <w:left w:val="single" w:sz="4" w:space="0" w:color="auto"/>
              <w:bottom w:val="single" w:sz="4" w:space="0" w:color="auto"/>
              <w:right w:val="single" w:sz="4" w:space="0" w:color="auto"/>
            </w:tcBorders>
            <w:vAlign w:val="center"/>
            <w:hideMark/>
          </w:tcPr>
          <w:p w:rsidR="00373796" w:rsidRPr="00373796" w:rsidRDefault="00373796" w:rsidP="00373796">
            <w:pPr>
              <w:jc w:val="left"/>
              <w:rPr>
                <w:rFonts w:ascii="Calibri" w:hAnsi="Calibri"/>
                <w:sz w:val="18"/>
                <w:szCs w:val="18"/>
              </w:rPr>
            </w:pP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Портфељ за ОИЕ</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19.12.2022.</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AE0DAF" w:rsidP="00373796">
            <w:pPr>
              <w:jc w:val="right"/>
              <w:rPr>
                <w:rFonts w:ascii="Calibri" w:hAnsi="Calibri"/>
                <w:sz w:val="18"/>
                <w:szCs w:val="18"/>
              </w:rPr>
            </w:pPr>
            <w:r>
              <w:rPr>
                <w:rFonts w:ascii="Calibri" w:hAnsi="Calibri"/>
                <w:sz w:val="18"/>
                <w:szCs w:val="18"/>
                <w:lang w:val="sr-Cyrl-RS"/>
              </w:rPr>
              <w:t>1</w:t>
            </w:r>
            <w:r w:rsidR="00373796" w:rsidRPr="00373796">
              <w:rPr>
                <w:rFonts w:ascii="Calibri" w:hAnsi="Calibri"/>
                <w:sz w:val="18"/>
                <w:szCs w:val="18"/>
              </w:rPr>
              <w:t>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1.792.550,00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AE0DAF" w:rsidP="00373796">
            <w:pPr>
              <w:jc w:val="right"/>
              <w:rPr>
                <w:rFonts w:ascii="Calibri" w:hAnsi="Calibri"/>
                <w:sz w:val="18"/>
                <w:szCs w:val="18"/>
              </w:rPr>
            </w:pPr>
            <w:r>
              <w:rPr>
                <w:rFonts w:ascii="Calibri" w:hAnsi="Calibri"/>
                <w:sz w:val="18"/>
                <w:szCs w:val="18"/>
                <w:lang w:val="sr-Cyrl-RS"/>
              </w:rPr>
              <w:t>17,93</w:t>
            </w:r>
            <w:r w:rsidR="00373796" w:rsidRPr="00373796">
              <w:rPr>
                <w:rFonts w:ascii="Calibri" w:hAnsi="Calibri"/>
                <w:sz w:val="18"/>
                <w:szCs w:val="18"/>
              </w:rPr>
              <w:t>%</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5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50.000.000,00</w:t>
            </w:r>
          </w:p>
        </w:tc>
        <w:tc>
          <w:tcPr>
            <w:tcW w:w="1271" w:type="dxa"/>
            <w:tcBorders>
              <w:top w:val="nil"/>
              <w:left w:val="nil"/>
              <w:bottom w:val="single" w:sz="4" w:space="0" w:color="auto"/>
              <w:right w:val="single" w:sz="4" w:space="0" w:color="auto"/>
            </w:tcBorders>
            <w:shd w:val="clear" w:color="000000" w:fill="C5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30.831.116,88</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61,66%</w:t>
            </w:r>
          </w:p>
        </w:tc>
      </w:tr>
      <w:tr w:rsidR="00373796" w:rsidRPr="00373796" w:rsidTr="00373796">
        <w:trPr>
          <w:trHeight w:val="51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SPARKASSE BANK d.d. Bosna i Hercegovina</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12.10.2023.</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10.000.000,00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3.123.000,00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31,23%</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5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10.000.000,00</w:t>
            </w:r>
          </w:p>
        </w:tc>
        <w:tc>
          <w:tcPr>
            <w:tcW w:w="1271" w:type="dxa"/>
            <w:tcBorders>
              <w:top w:val="nil"/>
              <w:left w:val="nil"/>
              <w:bottom w:val="single" w:sz="4" w:space="0" w:color="auto"/>
              <w:right w:val="single" w:sz="4" w:space="0" w:color="auto"/>
            </w:tcBorders>
            <w:shd w:val="clear" w:color="000000" w:fill="C5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3.123.000,00</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31,23%</w:t>
            </w:r>
          </w:p>
        </w:tc>
      </w:tr>
      <w:tr w:rsidR="00373796" w:rsidRPr="00373796" w:rsidTr="00373796">
        <w:trPr>
          <w:trHeight w:val="48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MKD TAURUS d.o.o. Banja Luka</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21.02.2024.</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500.000,00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65.000,00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13,00%</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500.000,00</w:t>
            </w:r>
          </w:p>
        </w:tc>
        <w:tc>
          <w:tcPr>
            <w:tcW w:w="1271"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65.000,00</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13,00%</w:t>
            </w:r>
          </w:p>
        </w:tc>
      </w:tr>
      <w:tr w:rsidR="00373796" w:rsidRPr="00373796" w:rsidTr="00373796">
        <w:trPr>
          <w:trHeight w:val="72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Procredit banka i Fondacija za razvoj grada Prijedora</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07.06.2024.</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5.000.000,00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45.000,00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0,90%</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5.000.000,00</w:t>
            </w:r>
          </w:p>
        </w:tc>
        <w:tc>
          <w:tcPr>
            <w:tcW w:w="1271"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45.000,00</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0,90%</w:t>
            </w:r>
          </w:p>
        </w:tc>
      </w:tr>
      <w:tr w:rsidR="00373796" w:rsidRPr="00373796" w:rsidTr="00373796">
        <w:trPr>
          <w:trHeight w:val="48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Нова банка а.д. Бања Лука</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10.06.2024.</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20.000.000,00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0,00%</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20.000.000,00</w:t>
            </w:r>
          </w:p>
        </w:tc>
        <w:tc>
          <w:tcPr>
            <w:tcW w:w="1271"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0,00</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0,00%</w:t>
            </w:r>
          </w:p>
        </w:tc>
      </w:tr>
      <w:tr w:rsidR="00373796" w:rsidRPr="00373796" w:rsidTr="00373796">
        <w:trPr>
          <w:trHeight w:val="555"/>
        </w:trPr>
        <w:tc>
          <w:tcPr>
            <w:tcW w:w="1719" w:type="dxa"/>
            <w:tcBorders>
              <w:top w:val="nil"/>
              <w:left w:val="single" w:sz="4" w:space="0" w:color="auto"/>
              <w:bottom w:val="nil"/>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МФ банка а.д. Бања Лука</w:t>
            </w:r>
          </w:p>
        </w:tc>
        <w:tc>
          <w:tcPr>
            <w:tcW w:w="1840"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left"/>
              <w:rPr>
                <w:rFonts w:ascii="Calibri" w:hAnsi="Calibri"/>
                <w:sz w:val="18"/>
                <w:szCs w:val="18"/>
              </w:rPr>
            </w:pPr>
            <w:r w:rsidRPr="00373796">
              <w:rPr>
                <w:rFonts w:ascii="Calibri" w:hAnsi="Calibri"/>
                <w:sz w:val="18"/>
                <w:szCs w:val="18"/>
              </w:rPr>
              <w:t>Општи портфељ</w:t>
            </w:r>
          </w:p>
        </w:tc>
        <w:tc>
          <w:tcPr>
            <w:tcW w:w="1134"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center"/>
              <w:rPr>
                <w:rFonts w:ascii="Calibri" w:hAnsi="Calibri"/>
                <w:sz w:val="18"/>
                <w:szCs w:val="18"/>
              </w:rPr>
            </w:pPr>
            <w:r w:rsidRPr="00373796">
              <w:rPr>
                <w:rFonts w:ascii="Calibri" w:hAnsi="Calibri"/>
                <w:sz w:val="18"/>
                <w:szCs w:val="18"/>
              </w:rPr>
              <w:t>23.12.2021.</w:t>
            </w:r>
          </w:p>
        </w:tc>
        <w:tc>
          <w:tcPr>
            <w:tcW w:w="1649" w:type="dxa"/>
            <w:tcBorders>
              <w:top w:val="nil"/>
              <w:left w:val="nil"/>
              <w:bottom w:val="single" w:sz="4" w:space="0" w:color="auto"/>
              <w:right w:val="single" w:sz="4" w:space="0" w:color="auto"/>
            </w:tcBorders>
            <w:shd w:val="clear" w:color="auto" w:fill="auto"/>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10.000.000,00</w:t>
            </w:r>
          </w:p>
        </w:tc>
        <w:tc>
          <w:tcPr>
            <w:tcW w:w="127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3.850.000,00</w:t>
            </w:r>
          </w:p>
        </w:tc>
        <w:tc>
          <w:tcPr>
            <w:tcW w:w="1191" w:type="dxa"/>
            <w:tcBorders>
              <w:top w:val="nil"/>
              <w:left w:val="nil"/>
              <w:bottom w:val="single" w:sz="4" w:space="0" w:color="auto"/>
              <w:right w:val="single" w:sz="4" w:space="0" w:color="auto"/>
            </w:tcBorders>
            <w:shd w:val="clear" w:color="auto" w:fill="auto"/>
            <w:noWrap/>
            <w:vAlign w:val="center"/>
            <w:hideMark/>
          </w:tcPr>
          <w:p w:rsidR="00373796" w:rsidRPr="00373796" w:rsidRDefault="00373796" w:rsidP="00373796">
            <w:pPr>
              <w:jc w:val="right"/>
              <w:rPr>
                <w:rFonts w:ascii="Calibri" w:hAnsi="Calibri"/>
                <w:sz w:val="18"/>
                <w:szCs w:val="18"/>
              </w:rPr>
            </w:pPr>
            <w:r w:rsidRPr="00373796">
              <w:rPr>
                <w:rFonts w:ascii="Calibri" w:hAnsi="Calibri"/>
                <w:sz w:val="18"/>
                <w:szCs w:val="18"/>
              </w:rPr>
              <w:t>38,50%</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УКУПНО</w:t>
            </w:r>
          </w:p>
        </w:tc>
        <w:tc>
          <w:tcPr>
            <w:tcW w:w="1134"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10.000.000,00</w:t>
            </w:r>
          </w:p>
        </w:tc>
        <w:tc>
          <w:tcPr>
            <w:tcW w:w="1271" w:type="dxa"/>
            <w:tcBorders>
              <w:top w:val="nil"/>
              <w:left w:val="nil"/>
              <w:bottom w:val="single" w:sz="4" w:space="0" w:color="auto"/>
              <w:right w:val="single" w:sz="4" w:space="0" w:color="auto"/>
            </w:tcBorders>
            <w:shd w:val="clear" w:color="000000" w:fill="C6D9F1"/>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3.850.000,00</w:t>
            </w:r>
          </w:p>
        </w:tc>
        <w:tc>
          <w:tcPr>
            <w:tcW w:w="1191" w:type="dxa"/>
            <w:tcBorders>
              <w:top w:val="nil"/>
              <w:left w:val="nil"/>
              <w:bottom w:val="single" w:sz="4" w:space="0" w:color="auto"/>
              <w:right w:val="single" w:sz="4" w:space="0" w:color="auto"/>
            </w:tcBorders>
            <w:shd w:val="clear" w:color="000000" w:fill="C5D9F1"/>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38,50%</w:t>
            </w:r>
          </w:p>
        </w:tc>
      </w:tr>
      <w:tr w:rsidR="00373796" w:rsidRPr="00373796" w:rsidTr="00373796">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color w:val="auto"/>
                <w:sz w:val="18"/>
                <w:szCs w:val="18"/>
              </w:rPr>
            </w:pPr>
            <w:r w:rsidRPr="00373796">
              <w:rPr>
                <w:rFonts w:ascii="Calibri" w:hAnsi="Calibri"/>
                <w:b/>
                <w:bCs/>
                <w:color w:val="auto"/>
                <w:sz w:val="18"/>
                <w:szCs w:val="18"/>
              </w:rPr>
              <w:t>УКУПНО</w:t>
            </w:r>
          </w:p>
        </w:tc>
        <w:tc>
          <w:tcPr>
            <w:tcW w:w="1134" w:type="dxa"/>
            <w:tcBorders>
              <w:top w:val="nil"/>
              <w:left w:val="nil"/>
              <w:bottom w:val="single" w:sz="4" w:space="0" w:color="auto"/>
              <w:right w:val="single" w:sz="4" w:space="0" w:color="auto"/>
            </w:tcBorders>
            <w:shd w:val="clear" w:color="000000" w:fill="8DB4E2"/>
            <w:vAlign w:val="center"/>
            <w:hideMark/>
          </w:tcPr>
          <w:p w:rsidR="00373796" w:rsidRPr="00373796" w:rsidRDefault="00373796" w:rsidP="00373796">
            <w:pPr>
              <w:jc w:val="center"/>
              <w:rPr>
                <w:rFonts w:ascii="Calibri" w:hAnsi="Calibri"/>
                <w:b/>
                <w:bCs/>
                <w:color w:val="auto"/>
                <w:sz w:val="18"/>
                <w:szCs w:val="18"/>
              </w:rPr>
            </w:pPr>
            <w:r w:rsidRPr="00373796">
              <w:rPr>
                <w:rFonts w:ascii="Calibri" w:hAnsi="Calibri"/>
                <w:b/>
                <w:bCs/>
                <w:color w:val="auto"/>
                <w:sz w:val="18"/>
                <w:szCs w:val="18"/>
              </w:rPr>
              <w:t> </w:t>
            </w:r>
          </w:p>
        </w:tc>
        <w:tc>
          <w:tcPr>
            <w:tcW w:w="1649" w:type="dxa"/>
            <w:tcBorders>
              <w:top w:val="nil"/>
              <w:left w:val="nil"/>
              <w:bottom w:val="single" w:sz="4" w:space="0" w:color="auto"/>
              <w:right w:val="single" w:sz="4" w:space="0" w:color="auto"/>
            </w:tcBorders>
            <w:shd w:val="clear" w:color="000000" w:fill="8DB4E2"/>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155.500.000,00</w:t>
            </w:r>
          </w:p>
        </w:tc>
        <w:tc>
          <w:tcPr>
            <w:tcW w:w="1271" w:type="dxa"/>
            <w:tcBorders>
              <w:top w:val="nil"/>
              <w:left w:val="nil"/>
              <w:bottom w:val="single" w:sz="4" w:space="0" w:color="auto"/>
              <w:right w:val="single" w:sz="4" w:space="0" w:color="auto"/>
            </w:tcBorders>
            <w:shd w:val="clear" w:color="000000" w:fill="8DB4E2"/>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87.685.116,89</w:t>
            </w:r>
          </w:p>
        </w:tc>
        <w:tc>
          <w:tcPr>
            <w:tcW w:w="1191" w:type="dxa"/>
            <w:tcBorders>
              <w:top w:val="nil"/>
              <w:left w:val="nil"/>
              <w:bottom w:val="single" w:sz="4" w:space="0" w:color="auto"/>
              <w:right w:val="single" w:sz="4" w:space="0" w:color="auto"/>
            </w:tcBorders>
            <w:shd w:val="clear" w:color="000000" w:fill="8DB4E2"/>
            <w:noWrap/>
            <w:vAlign w:val="center"/>
            <w:hideMark/>
          </w:tcPr>
          <w:p w:rsidR="00373796" w:rsidRPr="00373796" w:rsidRDefault="00373796" w:rsidP="00373796">
            <w:pPr>
              <w:jc w:val="right"/>
              <w:rPr>
                <w:rFonts w:ascii="Calibri" w:hAnsi="Calibri"/>
                <w:b/>
                <w:bCs/>
                <w:sz w:val="18"/>
                <w:szCs w:val="18"/>
              </w:rPr>
            </w:pPr>
            <w:r w:rsidRPr="00373796">
              <w:rPr>
                <w:rFonts w:ascii="Calibri" w:hAnsi="Calibri"/>
                <w:b/>
                <w:bCs/>
                <w:sz w:val="18"/>
                <w:szCs w:val="18"/>
              </w:rPr>
              <w:t>56,39%</w:t>
            </w:r>
          </w:p>
        </w:tc>
      </w:tr>
    </w:tbl>
    <w:p w:rsidR="00373796" w:rsidRPr="005767EF" w:rsidRDefault="00373796" w:rsidP="001538EF">
      <w:pPr>
        <w:autoSpaceDE w:val="0"/>
        <w:autoSpaceDN w:val="0"/>
        <w:adjustRightInd w:val="0"/>
        <w:rPr>
          <w:rFonts w:asciiTheme="minorHAnsi" w:eastAsiaTheme="minorHAnsi" w:hAnsiTheme="minorHAnsi"/>
          <w:color w:val="auto"/>
          <w:sz w:val="20"/>
          <w:szCs w:val="20"/>
          <w:lang w:val="sr-Cyrl-BA" w:eastAsia="en-US"/>
        </w:rPr>
      </w:pPr>
    </w:p>
    <w:p w:rsidR="008A3C49" w:rsidRPr="00AE0DAF" w:rsidRDefault="00373796" w:rsidP="001538EF">
      <w:pPr>
        <w:autoSpaceDE w:val="0"/>
        <w:autoSpaceDN w:val="0"/>
        <w:adjustRightInd w:val="0"/>
        <w:rPr>
          <w:rFonts w:asciiTheme="minorHAnsi" w:hAnsiTheme="minorHAnsi"/>
          <w:sz w:val="20"/>
          <w:szCs w:val="20"/>
          <w:lang w:val="sr-Cyrl-RS" w:eastAsia="sr-Latn-RS"/>
        </w:rPr>
      </w:pPr>
      <w:r w:rsidRPr="00AE0DAF">
        <w:rPr>
          <w:rFonts w:asciiTheme="minorHAnsi" w:hAnsiTheme="minorHAnsi"/>
          <w:sz w:val="20"/>
          <w:szCs w:val="20"/>
          <w:lang w:val="sr-Cyrl-BA" w:eastAsia="sr-Latn-RS"/>
        </w:rPr>
        <w:t>До дана</w:t>
      </w:r>
      <w:r w:rsidR="008A3C49" w:rsidRPr="00AE0DAF">
        <w:rPr>
          <w:rFonts w:asciiTheme="minorHAnsi" w:hAnsiTheme="minorHAnsi"/>
          <w:sz w:val="20"/>
          <w:szCs w:val="20"/>
          <w:lang w:val="sr-Cyrl-BA" w:eastAsia="sr-Latn-RS"/>
        </w:rPr>
        <w:t xml:space="preserve"> 31.12.202</w:t>
      </w:r>
      <w:r w:rsidRPr="00AE0DAF">
        <w:rPr>
          <w:rFonts w:asciiTheme="minorHAnsi" w:hAnsiTheme="minorHAnsi"/>
          <w:sz w:val="20"/>
          <w:szCs w:val="20"/>
          <w:lang w:val="sr-Cyrl-BA" w:eastAsia="sr-Latn-RS"/>
        </w:rPr>
        <w:t>4</w:t>
      </w:r>
      <w:r w:rsidR="008A3C49" w:rsidRPr="00AE0DAF">
        <w:rPr>
          <w:rFonts w:asciiTheme="minorHAnsi" w:hAnsiTheme="minorHAnsi"/>
          <w:sz w:val="20"/>
          <w:szCs w:val="20"/>
          <w:lang w:val="sr-Cyrl-BA" w:eastAsia="sr-Latn-RS"/>
        </w:rPr>
        <w:t xml:space="preserve">. године, у оквиру кредитног портфеља уговореног са </w:t>
      </w:r>
      <w:r w:rsidRPr="00AE0DAF">
        <w:rPr>
          <w:rFonts w:asciiTheme="minorHAnsi" w:hAnsiTheme="minorHAnsi"/>
          <w:sz w:val="20"/>
          <w:szCs w:val="20"/>
          <w:lang w:val="sr-Cyrl-BA" w:eastAsia="sr-Latn-RS"/>
        </w:rPr>
        <w:t>7</w:t>
      </w:r>
      <w:r w:rsidR="008A3C49" w:rsidRPr="00AE0DAF">
        <w:rPr>
          <w:rFonts w:asciiTheme="minorHAnsi" w:hAnsiTheme="minorHAnsi"/>
          <w:sz w:val="20"/>
          <w:szCs w:val="20"/>
          <w:lang w:val="sr-Cyrl-BA" w:eastAsia="sr-Latn-RS"/>
        </w:rPr>
        <w:t xml:space="preserve"> финансијск</w:t>
      </w:r>
      <w:r w:rsidRPr="00AE0DAF">
        <w:rPr>
          <w:rFonts w:asciiTheme="minorHAnsi" w:hAnsiTheme="minorHAnsi"/>
          <w:sz w:val="20"/>
          <w:szCs w:val="20"/>
          <w:lang w:val="sr-Cyrl-BA" w:eastAsia="sr-Latn-RS"/>
        </w:rPr>
        <w:t>их</w:t>
      </w:r>
      <w:r w:rsidR="008A3C49" w:rsidRPr="00AE0DAF">
        <w:rPr>
          <w:rFonts w:asciiTheme="minorHAnsi" w:hAnsiTheme="minorHAnsi"/>
          <w:sz w:val="20"/>
          <w:szCs w:val="20"/>
          <w:lang w:val="sr-Cyrl-BA" w:eastAsia="sr-Latn-RS"/>
        </w:rPr>
        <w:t xml:space="preserve"> посредника је пласирано </w:t>
      </w:r>
      <w:r w:rsidRPr="00AE0DAF">
        <w:rPr>
          <w:rFonts w:asciiTheme="minorHAnsi" w:hAnsiTheme="minorHAnsi"/>
          <w:sz w:val="20"/>
          <w:szCs w:val="20"/>
          <w:lang w:val="sr-Cyrl-BA" w:eastAsia="sr-Latn-RS"/>
        </w:rPr>
        <w:t>87.685.116,89</w:t>
      </w:r>
      <w:r w:rsidR="008A3C49" w:rsidRPr="00AE0DAF">
        <w:rPr>
          <w:rFonts w:asciiTheme="minorHAnsi" w:hAnsiTheme="minorHAnsi"/>
          <w:sz w:val="20"/>
          <w:szCs w:val="20"/>
          <w:lang w:val="sr-Cyrl-BA" w:eastAsia="sr-Latn-RS"/>
        </w:rPr>
        <w:t xml:space="preserve"> КМ кредитних средстава, односно </w:t>
      </w:r>
      <w:r w:rsidRPr="00AE0DAF">
        <w:rPr>
          <w:rFonts w:asciiTheme="minorHAnsi" w:hAnsiTheme="minorHAnsi"/>
          <w:sz w:val="20"/>
          <w:szCs w:val="20"/>
          <w:lang w:val="sr-Cyrl-BA" w:eastAsia="sr-Latn-RS"/>
        </w:rPr>
        <w:t>56,39</w:t>
      </w:r>
      <w:r w:rsidR="008A3C49" w:rsidRPr="00AE0DAF">
        <w:rPr>
          <w:rFonts w:asciiTheme="minorHAnsi" w:hAnsiTheme="minorHAnsi"/>
          <w:sz w:val="20"/>
          <w:szCs w:val="20"/>
          <w:lang w:val="sr-Cyrl-BA" w:eastAsia="sr-Latn-RS"/>
        </w:rPr>
        <w:t>% уговореног износа од 1</w:t>
      </w:r>
      <w:r w:rsidRPr="00AE0DAF">
        <w:rPr>
          <w:rFonts w:asciiTheme="minorHAnsi" w:hAnsiTheme="minorHAnsi"/>
          <w:sz w:val="20"/>
          <w:szCs w:val="20"/>
          <w:lang w:val="sr-Cyrl-BA" w:eastAsia="sr-Latn-RS"/>
        </w:rPr>
        <w:t>55.5</w:t>
      </w:r>
      <w:r w:rsidR="008A3C49" w:rsidRPr="00AE0DAF">
        <w:rPr>
          <w:rFonts w:asciiTheme="minorHAnsi" w:hAnsiTheme="minorHAnsi"/>
          <w:sz w:val="20"/>
          <w:szCs w:val="20"/>
          <w:lang w:val="sr-Cyrl-BA" w:eastAsia="sr-Latn-RS"/>
        </w:rPr>
        <w:t>00.000,00 КМ. Ако посматрамо портфељ за обновљиве изворе енергије, Procredit bank д.д. Сарајево</w:t>
      </w:r>
      <w:r w:rsidRPr="00AE0DAF">
        <w:rPr>
          <w:rFonts w:asciiTheme="minorHAnsi" w:hAnsiTheme="minorHAnsi"/>
          <w:sz w:val="20"/>
          <w:szCs w:val="20"/>
          <w:lang w:val="sr-Cyrl-BA" w:eastAsia="sr-Latn-RS"/>
        </w:rPr>
        <w:t xml:space="preserve"> </w:t>
      </w:r>
      <w:r w:rsidR="008A3C49" w:rsidRPr="00AE0DAF">
        <w:rPr>
          <w:rFonts w:asciiTheme="minorHAnsi" w:hAnsiTheme="minorHAnsi"/>
          <w:sz w:val="20"/>
          <w:szCs w:val="20"/>
          <w:lang w:val="sr-Cyrl-BA" w:eastAsia="sr-Latn-RS"/>
        </w:rPr>
        <w:t xml:space="preserve">је реализовала пласмане у износу од </w:t>
      </w:r>
      <w:r w:rsidRPr="00373796">
        <w:rPr>
          <w:rFonts w:ascii="Calibri" w:hAnsi="Calibri"/>
          <w:sz w:val="20"/>
          <w:szCs w:val="20"/>
        </w:rPr>
        <w:t>9.848.000,00</w:t>
      </w:r>
      <w:r w:rsidRPr="00AE0DAF">
        <w:rPr>
          <w:rFonts w:ascii="Calibri" w:hAnsi="Calibri"/>
          <w:sz w:val="20"/>
          <w:szCs w:val="20"/>
          <w:lang w:val="sr-Cyrl-RS"/>
        </w:rPr>
        <w:t xml:space="preserve"> </w:t>
      </w:r>
      <w:r w:rsidR="008A3C49" w:rsidRPr="00AE0DAF">
        <w:rPr>
          <w:rFonts w:asciiTheme="minorHAnsi" w:hAnsiTheme="minorHAnsi"/>
          <w:sz w:val="20"/>
          <w:szCs w:val="20"/>
          <w:lang w:val="sr-Cyrl-BA" w:eastAsia="sr-Latn-RS"/>
        </w:rPr>
        <w:t xml:space="preserve">КМ, односно </w:t>
      </w:r>
      <w:r w:rsidRPr="00AE0DAF">
        <w:rPr>
          <w:rFonts w:asciiTheme="minorHAnsi" w:hAnsiTheme="minorHAnsi"/>
          <w:sz w:val="20"/>
          <w:szCs w:val="20"/>
          <w:lang w:val="sr-Cyrl-BA" w:eastAsia="sr-Latn-RS"/>
        </w:rPr>
        <w:t>49,24</w:t>
      </w:r>
      <w:r w:rsidR="008A3C49" w:rsidRPr="00AE0DAF">
        <w:rPr>
          <w:rFonts w:asciiTheme="minorHAnsi" w:hAnsiTheme="minorHAnsi"/>
          <w:sz w:val="20"/>
          <w:szCs w:val="20"/>
          <w:lang w:val="sr-Cyrl-BA" w:eastAsia="sr-Latn-RS"/>
        </w:rPr>
        <w:t xml:space="preserve">% уговореног износа </w:t>
      </w:r>
      <w:r w:rsidR="00E037F4" w:rsidRPr="00AE0DAF">
        <w:rPr>
          <w:rFonts w:asciiTheme="minorHAnsi" w:hAnsiTheme="minorHAnsi"/>
          <w:sz w:val="20"/>
          <w:szCs w:val="20"/>
          <w:lang w:val="sr-Cyrl-BA" w:eastAsia="sr-Latn-RS"/>
        </w:rPr>
        <w:t>портф</w:t>
      </w:r>
      <w:r w:rsidRPr="00AE0DAF">
        <w:rPr>
          <w:rFonts w:asciiTheme="minorHAnsi" w:hAnsiTheme="minorHAnsi"/>
          <w:sz w:val="20"/>
          <w:szCs w:val="20"/>
          <w:lang w:val="sr-Cyrl-BA" w:eastAsia="sr-Latn-RS"/>
        </w:rPr>
        <w:t>ељ</w:t>
      </w:r>
      <w:r w:rsidR="00E037F4" w:rsidRPr="00AE0DAF">
        <w:rPr>
          <w:rFonts w:asciiTheme="minorHAnsi" w:hAnsiTheme="minorHAnsi"/>
          <w:sz w:val="20"/>
          <w:szCs w:val="20"/>
          <w:lang w:val="sr-Cyrl-BA" w:eastAsia="sr-Latn-RS"/>
        </w:rPr>
        <w:t>а</w:t>
      </w:r>
      <w:r w:rsidRPr="00AE0DAF">
        <w:rPr>
          <w:rFonts w:asciiTheme="minorHAnsi" w:hAnsiTheme="minorHAnsi"/>
          <w:sz w:val="20"/>
          <w:szCs w:val="20"/>
          <w:lang w:val="sr-Cyrl-BA" w:eastAsia="sr-Latn-RS"/>
        </w:rPr>
        <w:t xml:space="preserve">, док је стопа реализације </w:t>
      </w:r>
      <w:r w:rsidRPr="00373796">
        <w:rPr>
          <w:rFonts w:ascii="Calibri" w:hAnsi="Calibri"/>
          <w:sz w:val="20"/>
          <w:szCs w:val="20"/>
        </w:rPr>
        <w:t>Unicredit bank a.d. Banja Luka</w:t>
      </w:r>
      <w:r w:rsidRPr="00AE0DAF">
        <w:rPr>
          <w:rFonts w:ascii="Calibri" w:hAnsi="Calibri"/>
          <w:sz w:val="20"/>
          <w:szCs w:val="20"/>
          <w:lang w:val="sr-Cyrl-RS"/>
        </w:rPr>
        <w:t xml:space="preserve"> </w:t>
      </w:r>
      <w:r w:rsidR="00AE0DAF" w:rsidRPr="00AE0DAF">
        <w:rPr>
          <w:rFonts w:ascii="Calibri" w:hAnsi="Calibri"/>
          <w:sz w:val="20"/>
          <w:szCs w:val="20"/>
          <w:lang w:val="sr-Cyrl-RS"/>
        </w:rPr>
        <w:t xml:space="preserve">на нивоу од </w:t>
      </w:r>
      <w:r w:rsidR="00014B23">
        <w:rPr>
          <w:rFonts w:ascii="Calibri" w:hAnsi="Calibri"/>
          <w:sz w:val="20"/>
          <w:szCs w:val="20"/>
          <w:lang w:val="sr-Cyrl-RS"/>
        </w:rPr>
        <w:t>17,93</w:t>
      </w:r>
      <w:r w:rsidRPr="00AE0DAF">
        <w:rPr>
          <w:rFonts w:ascii="Calibri" w:hAnsi="Calibri"/>
          <w:sz w:val="20"/>
          <w:szCs w:val="20"/>
          <w:lang w:val="sr-Cyrl-RS"/>
        </w:rPr>
        <w:t>%, односно 1.792.550,00 КМ.</w:t>
      </w:r>
    </w:p>
    <w:p w:rsidR="00E037F4" w:rsidRDefault="00E037F4" w:rsidP="001538EF">
      <w:pPr>
        <w:autoSpaceDE w:val="0"/>
        <w:autoSpaceDN w:val="0"/>
        <w:adjustRightInd w:val="0"/>
        <w:rPr>
          <w:rFonts w:asciiTheme="minorHAnsi" w:hAnsiTheme="minorHAnsi"/>
          <w:sz w:val="20"/>
          <w:szCs w:val="20"/>
          <w:lang w:val="sr-Cyrl-BA" w:eastAsia="sr-Latn-RS"/>
        </w:rPr>
      </w:pPr>
    </w:p>
    <w:p w:rsidR="008A3C49" w:rsidRDefault="008A3C49" w:rsidP="001538EF">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val="sr-Cyrl-BA" w:eastAsia="sr-Latn-RS"/>
        </w:rPr>
        <w:t xml:space="preserve">Ако посматрамо кредитну активност у оквиру општег портфеља, доминантну улогу има </w:t>
      </w:r>
      <w:r w:rsidRPr="008A3C49">
        <w:rPr>
          <w:rFonts w:asciiTheme="minorHAnsi" w:hAnsiTheme="minorHAnsi"/>
          <w:sz w:val="20"/>
          <w:szCs w:val="20"/>
          <w:lang w:val="sr-Cyrl-BA" w:eastAsia="sr-Latn-RS"/>
        </w:rPr>
        <w:t xml:space="preserve">Procredit </w:t>
      </w:r>
      <w:r>
        <w:rPr>
          <w:rFonts w:asciiTheme="minorHAnsi" w:hAnsiTheme="minorHAnsi"/>
          <w:sz w:val="20"/>
          <w:szCs w:val="20"/>
          <w:lang w:val="sr-Cyrl-BA" w:eastAsia="sr-Latn-RS"/>
        </w:rPr>
        <w:t>банка, која је до краја 202</w:t>
      </w:r>
      <w:r w:rsidR="00373796">
        <w:rPr>
          <w:rFonts w:asciiTheme="minorHAnsi" w:hAnsiTheme="minorHAnsi"/>
          <w:sz w:val="20"/>
          <w:szCs w:val="20"/>
          <w:lang w:val="sr-Cyrl-BA" w:eastAsia="sr-Latn-RS"/>
        </w:rPr>
        <w:t>4</w:t>
      </w:r>
      <w:r>
        <w:rPr>
          <w:rFonts w:asciiTheme="minorHAnsi" w:hAnsiTheme="minorHAnsi"/>
          <w:sz w:val="20"/>
          <w:szCs w:val="20"/>
          <w:lang w:val="sr-Cyrl-BA" w:eastAsia="sr-Latn-RS"/>
        </w:rPr>
        <w:t xml:space="preserve">. године реализовала </w:t>
      </w:r>
      <w:r w:rsidR="00373796">
        <w:rPr>
          <w:rFonts w:asciiTheme="minorHAnsi" w:hAnsiTheme="minorHAnsi"/>
          <w:sz w:val="20"/>
          <w:szCs w:val="20"/>
          <w:lang w:val="sr-Cyrl-BA" w:eastAsia="sr-Latn-RS"/>
        </w:rPr>
        <w:t>готово цјелокупан</w:t>
      </w:r>
      <w:r>
        <w:rPr>
          <w:rFonts w:asciiTheme="minorHAnsi" w:hAnsiTheme="minorHAnsi"/>
          <w:sz w:val="20"/>
          <w:szCs w:val="20"/>
          <w:lang w:val="sr-Cyrl-BA" w:eastAsia="sr-Latn-RS"/>
        </w:rPr>
        <w:t xml:space="preserve"> уговорен</w:t>
      </w:r>
      <w:r w:rsidR="00373796">
        <w:rPr>
          <w:rFonts w:asciiTheme="minorHAnsi" w:hAnsiTheme="minorHAnsi"/>
          <w:sz w:val="20"/>
          <w:szCs w:val="20"/>
          <w:lang w:val="sr-Cyrl-BA" w:eastAsia="sr-Latn-RS"/>
        </w:rPr>
        <w:t xml:space="preserve">и износ и пласирала кредитна средства у износу од </w:t>
      </w:r>
      <w:r w:rsidR="00373796" w:rsidRPr="00373796">
        <w:rPr>
          <w:rFonts w:asciiTheme="minorHAnsi" w:hAnsiTheme="minorHAnsi"/>
          <w:sz w:val="20"/>
          <w:szCs w:val="20"/>
          <w:lang w:val="sr-Cyrl-BA" w:eastAsia="sr-Latn-RS"/>
        </w:rPr>
        <w:t>39.923.000,01</w:t>
      </w:r>
      <w:r w:rsidR="00373796">
        <w:rPr>
          <w:rFonts w:asciiTheme="minorHAnsi" w:hAnsiTheme="minorHAnsi"/>
          <w:sz w:val="20"/>
          <w:szCs w:val="20"/>
          <w:lang w:val="sr-Cyrl-BA" w:eastAsia="sr-Latn-RS"/>
        </w:rPr>
        <w:t>, што чини 99,81% уговореног износа.</w:t>
      </w:r>
    </w:p>
    <w:p w:rsidR="00373796" w:rsidRDefault="00373796" w:rsidP="001538EF">
      <w:pPr>
        <w:autoSpaceDE w:val="0"/>
        <w:autoSpaceDN w:val="0"/>
        <w:adjustRightInd w:val="0"/>
        <w:rPr>
          <w:rFonts w:asciiTheme="minorHAnsi" w:hAnsiTheme="minorHAnsi"/>
          <w:sz w:val="20"/>
          <w:szCs w:val="20"/>
          <w:lang w:val="sr-Cyrl-BA" w:eastAsia="sr-Latn-RS"/>
        </w:rPr>
      </w:pPr>
    </w:p>
    <w:p w:rsidR="00E037F4" w:rsidRDefault="00E037F4" w:rsidP="001538EF">
      <w:pPr>
        <w:autoSpaceDE w:val="0"/>
        <w:autoSpaceDN w:val="0"/>
        <w:adjustRightInd w:val="0"/>
        <w:rPr>
          <w:rFonts w:asciiTheme="minorHAnsi" w:hAnsiTheme="minorHAnsi"/>
          <w:sz w:val="20"/>
          <w:szCs w:val="20"/>
          <w:lang w:val="sr-Cyrl-BA" w:eastAsia="sr-Latn-RS"/>
        </w:rPr>
      </w:pPr>
      <w:r w:rsidRPr="00E037F4">
        <w:rPr>
          <w:rFonts w:asciiTheme="minorHAnsi" w:hAnsiTheme="minorHAnsi"/>
          <w:sz w:val="20"/>
          <w:szCs w:val="20"/>
          <w:lang w:val="sr-Cyrl-BA" w:eastAsia="sr-Latn-RS"/>
        </w:rPr>
        <w:t xml:space="preserve">Unicredit </w:t>
      </w:r>
      <w:r w:rsidR="00AE0DAF">
        <w:rPr>
          <w:rFonts w:asciiTheme="minorHAnsi" w:hAnsiTheme="minorHAnsi"/>
          <w:sz w:val="20"/>
          <w:szCs w:val="20"/>
          <w:lang w:val="sr-Cyrl-BA" w:eastAsia="sr-Latn-RS"/>
        </w:rPr>
        <w:t xml:space="preserve">банка </w:t>
      </w:r>
      <w:r w:rsidR="00014B23">
        <w:rPr>
          <w:rFonts w:asciiTheme="minorHAnsi" w:hAnsiTheme="minorHAnsi"/>
          <w:sz w:val="20"/>
          <w:szCs w:val="20"/>
          <w:lang w:val="sr-Cyrl-BA" w:eastAsia="sr-Latn-RS"/>
        </w:rPr>
        <w:t xml:space="preserve">је у септембру 2024. године поднијела захтјева за повећање износа општег кредитног портфеља са 30 на 40 милиона КМ. До краја 2024. године, ова банка је пласирала </w:t>
      </w:r>
      <w:r w:rsidR="00014B23" w:rsidRPr="00014B23">
        <w:rPr>
          <w:rFonts w:asciiTheme="minorHAnsi" w:hAnsiTheme="minorHAnsi"/>
          <w:sz w:val="20"/>
          <w:szCs w:val="20"/>
          <w:lang w:val="sr-Cyrl-BA" w:eastAsia="sr-Latn-RS"/>
        </w:rPr>
        <w:t>29.038.566,88</w:t>
      </w:r>
      <w:r w:rsidR="00014B23">
        <w:rPr>
          <w:rFonts w:asciiTheme="minorHAnsi" w:hAnsiTheme="minorHAnsi"/>
          <w:sz w:val="20"/>
          <w:szCs w:val="20"/>
          <w:lang w:val="sr-Cyrl-BA" w:eastAsia="sr-Latn-RS"/>
        </w:rPr>
        <w:t xml:space="preserve"> КМ кредитних средстава, те је стопа реализације на нивоу од 72,60%. На трећем мјесту по реализацији уговореног општег портфеља се налази МФ банка која је до краја 2024. године пласирала средства у износу од </w:t>
      </w:r>
      <w:r>
        <w:rPr>
          <w:rFonts w:asciiTheme="minorHAnsi" w:hAnsiTheme="minorHAnsi"/>
          <w:sz w:val="20"/>
          <w:szCs w:val="20"/>
          <w:lang w:val="sr-Cyrl-BA" w:eastAsia="sr-Latn-RS"/>
        </w:rPr>
        <w:t xml:space="preserve"> 3.850.000,00 КМ</w:t>
      </w:r>
      <w:r w:rsidR="00014B23">
        <w:rPr>
          <w:rFonts w:asciiTheme="minorHAnsi" w:hAnsiTheme="minorHAnsi"/>
          <w:sz w:val="20"/>
          <w:szCs w:val="20"/>
          <w:lang w:val="sr-Cyrl-BA" w:eastAsia="sr-Latn-RS"/>
        </w:rPr>
        <w:t>.Стопа реализације је 38,5%.</w:t>
      </w:r>
      <w:r>
        <w:rPr>
          <w:rFonts w:asciiTheme="minorHAnsi" w:hAnsiTheme="minorHAnsi"/>
          <w:sz w:val="20"/>
          <w:szCs w:val="20"/>
          <w:lang w:val="sr-Cyrl-BA" w:eastAsia="sr-Latn-RS"/>
        </w:rPr>
        <w:t xml:space="preserve"> </w:t>
      </w:r>
    </w:p>
    <w:p w:rsidR="008A3C49" w:rsidRPr="005767EF" w:rsidRDefault="008A3C49" w:rsidP="001538EF">
      <w:pPr>
        <w:autoSpaceDE w:val="0"/>
        <w:autoSpaceDN w:val="0"/>
        <w:adjustRightInd w:val="0"/>
        <w:rPr>
          <w:rFonts w:asciiTheme="minorHAnsi" w:hAnsiTheme="minorHAnsi"/>
          <w:sz w:val="20"/>
          <w:szCs w:val="20"/>
          <w:lang w:val="sr-Cyrl-BA" w:eastAsia="sr-Latn-RS"/>
        </w:rPr>
      </w:pPr>
    </w:p>
    <w:p w:rsidR="00014B23" w:rsidRDefault="00E037F4" w:rsidP="001538EF">
      <w:pPr>
        <w:autoSpaceDE w:val="0"/>
        <w:autoSpaceDN w:val="0"/>
        <w:adjustRightInd w:val="0"/>
        <w:rPr>
          <w:rFonts w:asciiTheme="minorHAnsi" w:hAnsiTheme="minorHAnsi"/>
          <w:bCs/>
          <w:sz w:val="20"/>
          <w:szCs w:val="20"/>
          <w:lang w:val="sr-Cyrl-BA" w:eastAsia="sr-Latn-RS"/>
        </w:rPr>
      </w:pPr>
      <w:r w:rsidRPr="00E037F4">
        <w:rPr>
          <w:rFonts w:asciiTheme="minorHAnsi" w:hAnsiTheme="minorHAnsi"/>
          <w:bCs/>
          <w:sz w:val="20"/>
          <w:szCs w:val="20"/>
          <w:lang w:val="sr-Cyrl-BA" w:eastAsia="sr-Latn-RS"/>
        </w:rPr>
        <w:t xml:space="preserve">Sparkasse bank д.д. БИХ је </w:t>
      </w:r>
      <w:r w:rsidR="00014B23">
        <w:rPr>
          <w:rFonts w:asciiTheme="minorHAnsi" w:hAnsiTheme="minorHAnsi"/>
          <w:bCs/>
          <w:sz w:val="20"/>
          <w:szCs w:val="20"/>
          <w:lang w:val="sr-Cyrl-BA" w:eastAsia="sr-Latn-RS"/>
        </w:rPr>
        <w:t>од потписивања уговора</w:t>
      </w:r>
      <w:r w:rsidRPr="00E037F4">
        <w:rPr>
          <w:rFonts w:asciiTheme="minorHAnsi" w:hAnsiTheme="minorHAnsi"/>
          <w:bCs/>
          <w:sz w:val="20"/>
          <w:szCs w:val="20"/>
          <w:lang w:val="sr-Cyrl-BA" w:eastAsia="sr-Latn-RS"/>
        </w:rPr>
        <w:t xml:space="preserve"> крајем 2023. године </w:t>
      </w:r>
      <w:r w:rsidR="00014B23">
        <w:rPr>
          <w:rFonts w:asciiTheme="minorHAnsi" w:hAnsiTheme="minorHAnsi"/>
          <w:bCs/>
          <w:sz w:val="20"/>
          <w:szCs w:val="20"/>
          <w:lang w:val="sr-Cyrl-BA" w:eastAsia="sr-Latn-RS"/>
        </w:rPr>
        <w:t xml:space="preserve">до краја 2024. године пласирала </w:t>
      </w:r>
      <w:r w:rsidR="00014B23" w:rsidRPr="00014B23">
        <w:rPr>
          <w:rFonts w:asciiTheme="minorHAnsi" w:hAnsiTheme="minorHAnsi"/>
          <w:bCs/>
          <w:sz w:val="20"/>
          <w:szCs w:val="20"/>
          <w:lang w:val="sr-Cyrl-BA" w:eastAsia="sr-Latn-RS"/>
        </w:rPr>
        <w:t>3.123.000,00</w:t>
      </w:r>
      <w:r w:rsidR="00DC0C8B">
        <w:rPr>
          <w:rFonts w:asciiTheme="minorHAnsi" w:hAnsiTheme="minorHAnsi"/>
          <w:bCs/>
          <w:sz w:val="20"/>
          <w:szCs w:val="20"/>
          <w:lang w:val="sr-Cyrl-BA" w:eastAsia="sr-Latn-RS"/>
        </w:rPr>
        <w:t xml:space="preserve"> КМ и има стопу реализације од 31,23%. МКД Таурус је пласирао средстав у износу од 65.000,00 КМ и тако реализовао 13% уговореног кредитног портфеља. Најмању стопу реализације је имао трипаритетни кредитни портфељ са Прокредит банком и Фондацијом за развој града Приједора. Пласиран је један кредит у износу од 45.000,00 КМ, што чини свега 0,90% уговореног износа. Уговор је потписан средином 2024. године, те је реално очекивање да ће доћи до раста стопе реализације у наредном периоду.</w:t>
      </w:r>
    </w:p>
    <w:p w:rsidR="001538EF" w:rsidRDefault="00DC0C8B" w:rsidP="001538EF">
      <w:pPr>
        <w:autoSpaceDE w:val="0"/>
        <w:autoSpaceDN w:val="0"/>
        <w:adjustRightInd w:val="0"/>
        <w:rPr>
          <w:rFonts w:asciiTheme="minorHAnsi" w:hAnsiTheme="minorHAnsi"/>
          <w:bCs/>
          <w:sz w:val="20"/>
          <w:szCs w:val="20"/>
          <w:lang w:val="sr-Cyrl-BA" w:eastAsia="sr-Latn-RS"/>
        </w:rPr>
      </w:pPr>
      <w:r>
        <w:rPr>
          <w:rFonts w:asciiTheme="minorHAnsi" w:hAnsiTheme="minorHAnsi"/>
          <w:bCs/>
          <w:sz w:val="20"/>
          <w:szCs w:val="20"/>
          <w:lang w:val="sr-Cyrl-BA" w:eastAsia="sr-Latn-RS"/>
        </w:rPr>
        <w:t>Нова банка је у јуну 2024. године потписала уговор о гарантовању кредитног портфеља, али до краја године</w:t>
      </w:r>
      <w:r w:rsidR="00E037F4" w:rsidRPr="00E037F4">
        <w:rPr>
          <w:rFonts w:asciiTheme="minorHAnsi" w:hAnsiTheme="minorHAnsi"/>
          <w:bCs/>
          <w:sz w:val="20"/>
          <w:szCs w:val="20"/>
          <w:lang w:val="sr-Cyrl-BA" w:eastAsia="sr-Latn-RS"/>
        </w:rPr>
        <w:t xml:space="preserve"> није имала кредитну активност </w:t>
      </w:r>
      <w:r>
        <w:rPr>
          <w:rFonts w:asciiTheme="minorHAnsi" w:hAnsiTheme="minorHAnsi"/>
          <w:bCs/>
          <w:sz w:val="20"/>
          <w:szCs w:val="20"/>
          <w:lang w:val="sr-Cyrl-BA" w:eastAsia="sr-Latn-RS"/>
        </w:rPr>
        <w:t>по овом основу.</w:t>
      </w:r>
    </w:p>
    <w:p w:rsidR="004D360B" w:rsidRPr="00E037F4" w:rsidRDefault="004D360B" w:rsidP="001538EF">
      <w:pPr>
        <w:autoSpaceDE w:val="0"/>
        <w:autoSpaceDN w:val="0"/>
        <w:adjustRightInd w:val="0"/>
        <w:rPr>
          <w:rFonts w:asciiTheme="minorHAnsi" w:hAnsiTheme="minorHAnsi"/>
          <w:bCs/>
          <w:sz w:val="20"/>
          <w:szCs w:val="20"/>
          <w:lang w:val="sr-Cyrl-BA" w:eastAsia="sr-Latn-RS"/>
        </w:rPr>
      </w:pPr>
    </w:p>
    <w:p w:rsidR="001538EF" w:rsidRPr="00705FDC" w:rsidRDefault="001538EF" w:rsidP="00705FDC">
      <w:pPr>
        <w:spacing w:after="200" w:line="276" w:lineRule="auto"/>
        <w:jc w:val="center"/>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 xml:space="preserve">Преглед </w:t>
      </w:r>
      <w:r w:rsidRPr="005767EF">
        <w:rPr>
          <w:rFonts w:asciiTheme="minorHAnsi" w:hAnsiTheme="minorHAnsi"/>
          <w:b/>
          <w:bCs/>
          <w:sz w:val="20"/>
          <w:szCs w:val="20"/>
          <w:lang w:val="sr-Cyrl-BA" w:eastAsia="sr-Latn-RS"/>
        </w:rPr>
        <w:t xml:space="preserve">стања уговореног кредитног портфеља и максималне изложености Гарантног фонда Републике Српске према финансијским посредницима </w:t>
      </w:r>
      <w:r w:rsidRPr="005767EF">
        <w:rPr>
          <w:rFonts w:asciiTheme="minorHAnsi" w:hAnsiTheme="minorHAnsi"/>
          <w:b/>
          <w:bCs/>
          <w:sz w:val="20"/>
          <w:szCs w:val="20"/>
          <w:lang w:val="sr-Latn-RS" w:eastAsia="sr-Latn-RS"/>
        </w:rPr>
        <w:t>на дан 31.12.202</w:t>
      </w:r>
      <w:r w:rsidR="00674803">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w:t>
      </w:r>
      <w:r w:rsidR="002663DB">
        <w:rPr>
          <w:rFonts w:asciiTheme="minorHAnsi" w:hAnsiTheme="minorHAnsi"/>
          <w:b/>
          <w:bCs/>
          <w:sz w:val="20"/>
          <w:szCs w:val="20"/>
          <w:lang w:val="sr-Cyrl-RS" w:eastAsia="sr-Latn-RS"/>
        </w:rPr>
        <w:t xml:space="preserve"> године</w:t>
      </w:r>
    </w:p>
    <w:p w:rsidR="001538EF" w:rsidRPr="005767EF" w:rsidRDefault="001538EF" w:rsidP="001538EF">
      <w:pPr>
        <w:autoSpaceDE w:val="0"/>
        <w:autoSpaceDN w:val="0"/>
        <w:adjustRightInd w:val="0"/>
        <w:rPr>
          <w:rFonts w:asciiTheme="minorHAnsi" w:eastAsiaTheme="minorHAnsi" w:hAnsiTheme="minorHAnsi"/>
          <w:color w:val="FF0000"/>
          <w:sz w:val="20"/>
          <w:szCs w:val="20"/>
          <w:lang w:val="sr-Cyrl-BA" w:eastAsia="en-US"/>
        </w:rPr>
      </w:pP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00A944C8">
        <w:rPr>
          <w:rFonts w:asciiTheme="minorHAnsi" w:hAnsiTheme="minorHAnsi"/>
          <w:b/>
          <w:bCs/>
          <w:sz w:val="20"/>
          <w:szCs w:val="20"/>
          <w:lang w:val="sr-Cyrl-BA" w:eastAsia="sr-Latn-RS"/>
        </w:rPr>
        <w:t xml:space="preserve">Табела </w:t>
      </w:r>
      <w:r w:rsidR="0034546F">
        <w:rPr>
          <w:rFonts w:asciiTheme="minorHAnsi" w:hAnsiTheme="minorHAnsi"/>
          <w:b/>
          <w:bCs/>
          <w:sz w:val="20"/>
          <w:szCs w:val="20"/>
          <w:lang w:val="sr-Cyrl-BA" w:eastAsia="sr-Latn-RS"/>
        </w:rPr>
        <w:t>10</w:t>
      </w:r>
    </w:p>
    <w:tbl>
      <w:tblPr>
        <w:tblW w:w="8804" w:type="dxa"/>
        <w:tblInd w:w="93" w:type="dxa"/>
        <w:tblLook w:val="04A0" w:firstRow="1" w:lastRow="0" w:firstColumn="1" w:lastColumn="0" w:noHBand="0" w:noVBand="1"/>
      </w:tblPr>
      <w:tblGrid>
        <w:gridCol w:w="2000"/>
        <w:gridCol w:w="992"/>
        <w:gridCol w:w="1701"/>
        <w:gridCol w:w="1701"/>
        <w:gridCol w:w="2410"/>
      </w:tblGrid>
      <w:tr w:rsidR="00002758" w:rsidRPr="00002758" w:rsidTr="009F6464">
        <w:trPr>
          <w:trHeight w:val="1755"/>
        </w:trPr>
        <w:tc>
          <w:tcPr>
            <w:tcW w:w="200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02758" w:rsidRPr="00002758" w:rsidRDefault="00002758" w:rsidP="00002758">
            <w:pPr>
              <w:jc w:val="left"/>
              <w:rPr>
                <w:rFonts w:ascii="Calibri" w:hAnsi="Calibri"/>
                <w:b/>
                <w:bCs/>
                <w:color w:val="auto"/>
                <w:sz w:val="18"/>
                <w:szCs w:val="18"/>
              </w:rPr>
            </w:pPr>
            <w:r w:rsidRPr="00002758">
              <w:rPr>
                <w:rFonts w:ascii="Calibri" w:hAnsi="Calibri"/>
                <w:b/>
                <w:bCs/>
                <w:color w:val="auto"/>
                <w:sz w:val="18"/>
                <w:szCs w:val="18"/>
              </w:rPr>
              <w:t>Финансијски посредник</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002758" w:rsidRPr="00002758" w:rsidRDefault="00002758" w:rsidP="00002758">
            <w:pPr>
              <w:jc w:val="center"/>
              <w:rPr>
                <w:rFonts w:ascii="Calibri" w:hAnsi="Calibri"/>
                <w:b/>
                <w:bCs/>
                <w:color w:val="auto"/>
                <w:sz w:val="18"/>
                <w:szCs w:val="18"/>
              </w:rPr>
            </w:pPr>
            <w:r w:rsidRPr="00002758">
              <w:rPr>
                <w:rFonts w:ascii="Calibri" w:hAnsi="Calibri"/>
                <w:b/>
                <w:bCs/>
                <w:color w:val="auto"/>
                <w:sz w:val="18"/>
                <w:szCs w:val="18"/>
              </w:rPr>
              <w:t>Број активних кредита/ гаранција</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rsidR="00002758" w:rsidRPr="00002758" w:rsidRDefault="00002758" w:rsidP="00002758">
            <w:pPr>
              <w:jc w:val="center"/>
              <w:rPr>
                <w:rFonts w:ascii="Calibri" w:hAnsi="Calibri"/>
                <w:b/>
                <w:bCs/>
                <w:color w:val="auto"/>
                <w:sz w:val="18"/>
                <w:szCs w:val="18"/>
              </w:rPr>
            </w:pPr>
            <w:r w:rsidRPr="00002758">
              <w:rPr>
                <w:rFonts w:ascii="Calibri" w:hAnsi="Calibri"/>
                <w:b/>
                <w:bCs/>
                <w:color w:val="auto"/>
                <w:sz w:val="18"/>
                <w:szCs w:val="18"/>
              </w:rPr>
              <w:t>Стање кредита на дан 31.12.2024. године</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rsidR="00002758" w:rsidRPr="00002758" w:rsidRDefault="00002758" w:rsidP="00002758">
            <w:pPr>
              <w:jc w:val="center"/>
              <w:rPr>
                <w:rFonts w:ascii="Calibri" w:hAnsi="Calibri"/>
                <w:b/>
                <w:bCs/>
                <w:color w:val="auto"/>
                <w:sz w:val="18"/>
                <w:szCs w:val="18"/>
              </w:rPr>
            </w:pPr>
            <w:r w:rsidRPr="00002758">
              <w:rPr>
                <w:rFonts w:ascii="Calibri" w:hAnsi="Calibri"/>
                <w:b/>
                <w:bCs/>
                <w:color w:val="auto"/>
                <w:sz w:val="18"/>
                <w:szCs w:val="18"/>
              </w:rPr>
              <w:t>Стање гаранција на дан 31.12.2024. године</w:t>
            </w:r>
          </w:p>
        </w:tc>
        <w:tc>
          <w:tcPr>
            <w:tcW w:w="2410" w:type="dxa"/>
            <w:tcBorders>
              <w:top w:val="single" w:sz="4" w:space="0" w:color="auto"/>
              <w:left w:val="nil"/>
              <w:bottom w:val="single" w:sz="4" w:space="0" w:color="auto"/>
              <w:right w:val="single" w:sz="4" w:space="0" w:color="auto"/>
            </w:tcBorders>
            <w:shd w:val="clear" w:color="000000" w:fill="8DB4E2"/>
            <w:vAlign w:val="center"/>
            <w:hideMark/>
          </w:tcPr>
          <w:p w:rsidR="00002758" w:rsidRPr="00002758" w:rsidRDefault="00002758" w:rsidP="00002758">
            <w:pPr>
              <w:jc w:val="center"/>
              <w:rPr>
                <w:rFonts w:ascii="Calibri" w:hAnsi="Calibri"/>
                <w:b/>
                <w:bCs/>
                <w:color w:val="auto"/>
                <w:sz w:val="18"/>
                <w:szCs w:val="18"/>
              </w:rPr>
            </w:pPr>
            <w:r w:rsidRPr="00002758">
              <w:rPr>
                <w:rFonts w:ascii="Calibri" w:hAnsi="Calibri"/>
                <w:b/>
                <w:bCs/>
                <w:color w:val="auto"/>
                <w:sz w:val="18"/>
                <w:szCs w:val="18"/>
              </w:rPr>
              <w:t>Максимални дозвољени износ гаранције (уз максималну  стопу покрића од  25% на стање кредита) на дан 31.12.2024.</w:t>
            </w:r>
          </w:p>
        </w:tc>
      </w:tr>
      <w:tr w:rsidR="00002758" w:rsidRPr="00002758" w:rsidTr="009F6464">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Procredit bank д.д. Сарајево</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145</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29.949.438,63</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14.974.719,32</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7.487.359,66</w:t>
            </w:r>
          </w:p>
        </w:tc>
      </w:tr>
      <w:tr w:rsidR="00002758" w:rsidRPr="00002758" w:rsidTr="009F6464">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Unicredit bank а.д. Бања Лука</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59</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11.322.433,67</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5.661.216,84</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2.830.608,42</w:t>
            </w:r>
          </w:p>
        </w:tc>
      </w:tr>
      <w:tr w:rsidR="00002758" w:rsidRPr="00002758" w:rsidTr="009F6464">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МФ банка а.д. Бања Лука</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19</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1.372.729,76</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686.364,88</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343.182,44</w:t>
            </w:r>
          </w:p>
        </w:tc>
      </w:tr>
      <w:tr w:rsidR="00002758" w:rsidRPr="00002758" w:rsidTr="009F6464">
        <w:trPr>
          <w:trHeight w:val="72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SPARKASSE BANK d.d. Bosna i Hercegovina</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10</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2.766.971,69</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1.383.485,85</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691.742,92</w:t>
            </w:r>
          </w:p>
        </w:tc>
      </w:tr>
      <w:tr w:rsidR="00002758" w:rsidRPr="00002758" w:rsidTr="009F6464">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MKD TAURUS d.o.o. Banja Luka</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2</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48.739,88</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24.369,94</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12.184,97</w:t>
            </w:r>
          </w:p>
        </w:tc>
      </w:tr>
      <w:tr w:rsidR="00002758" w:rsidRPr="00002758" w:rsidTr="009F6464">
        <w:trPr>
          <w:trHeight w:val="9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Procredit banka i Fondacija za razvoj grada Prijedora</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1</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43.714,89</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21.857,45</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10.928,72</w:t>
            </w:r>
          </w:p>
        </w:tc>
      </w:tr>
      <w:tr w:rsidR="00002758" w:rsidRPr="00002758" w:rsidTr="009F6464">
        <w:trPr>
          <w:trHeight w:val="58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002758" w:rsidRPr="00002758" w:rsidRDefault="00002758" w:rsidP="00002758">
            <w:pPr>
              <w:jc w:val="left"/>
              <w:rPr>
                <w:rFonts w:ascii="Calibri" w:hAnsi="Calibri"/>
                <w:color w:val="auto"/>
                <w:sz w:val="18"/>
                <w:szCs w:val="18"/>
              </w:rPr>
            </w:pPr>
            <w:r w:rsidRPr="00002758">
              <w:rPr>
                <w:rFonts w:ascii="Calibri" w:hAnsi="Calibri"/>
                <w:color w:val="auto"/>
                <w:sz w:val="18"/>
                <w:szCs w:val="18"/>
              </w:rPr>
              <w:t>Нова банка а.д. Бања Лука</w:t>
            </w:r>
          </w:p>
        </w:tc>
        <w:tc>
          <w:tcPr>
            <w:tcW w:w="992"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center"/>
              <w:rPr>
                <w:rFonts w:ascii="Calibri" w:hAnsi="Calibri"/>
                <w:color w:val="auto"/>
                <w:sz w:val="18"/>
                <w:szCs w:val="18"/>
              </w:rPr>
            </w:pPr>
            <w:r w:rsidRPr="00002758">
              <w:rPr>
                <w:rFonts w:ascii="Calibri" w:hAnsi="Calibri"/>
                <w:color w:val="auto"/>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0,00</w:t>
            </w:r>
          </w:p>
        </w:tc>
        <w:tc>
          <w:tcPr>
            <w:tcW w:w="1701"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0,00</w:t>
            </w:r>
          </w:p>
        </w:tc>
        <w:tc>
          <w:tcPr>
            <w:tcW w:w="2410" w:type="dxa"/>
            <w:tcBorders>
              <w:top w:val="nil"/>
              <w:left w:val="nil"/>
              <w:bottom w:val="single" w:sz="4" w:space="0" w:color="auto"/>
              <w:right w:val="single" w:sz="4" w:space="0" w:color="auto"/>
            </w:tcBorders>
            <w:shd w:val="clear" w:color="auto" w:fill="auto"/>
            <w:vAlign w:val="center"/>
            <w:hideMark/>
          </w:tcPr>
          <w:p w:rsidR="00002758" w:rsidRPr="00002758" w:rsidRDefault="00002758" w:rsidP="00002758">
            <w:pPr>
              <w:jc w:val="right"/>
              <w:rPr>
                <w:rFonts w:ascii="Calibri" w:hAnsi="Calibri"/>
                <w:color w:val="auto"/>
                <w:sz w:val="18"/>
                <w:szCs w:val="18"/>
              </w:rPr>
            </w:pPr>
            <w:r w:rsidRPr="00002758">
              <w:rPr>
                <w:rFonts w:ascii="Calibri" w:hAnsi="Calibri"/>
                <w:color w:val="auto"/>
                <w:sz w:val="18"/>
                <w:szCs w:val="18"/>
              </w:rPr>
              <w:t>0,00</w:t>
            </w:r>
          </w:p>
        </w:tc>
      </w:tr>
      <w:tr w:rsidR="00002758" w:rsidRPr="00002758" w:rsidTr="009F6464">
        <w:trPr>
          <w:trHeight w:val="315"/>
        </w:trPr>
        <w:tc>
          <w:tcPr>
            <w:tcW w:w="2000" w:type="dxa"/>
            <w:tcBorders>
              <w:top w:val="nil"/>
              <w:left w:val="single" w:sz="4" w:space="0" w:color="auto"/>
              <w:bottom w:val="single" w:sz="4" w:space="0" w:color="auto"/>
              <w:right w:val="single" w:sz="4" w:space="0" w:color="auto"/>
            </w:tcBorders>
            <w:shd w:val="clear" w:color="000000" w:fill="8DB4E2"/>
            <w:noWrap/>
            <w:vAlign w:val="center"/>
            <w:hideMark/>
          </w:tcPr>
          <w:p w:rsidR="00002758" w:rsidRPr="00002758" w:rsidRDefault="00002758" w:rsidP="00002758">
            <w:pPr>
              <w:jc w:val="center"/>
              <w:rPr>
                <w:rFonts w:ascii="Calibri" w:hAnsi="Calibri"/>
                <w:b/>
                <w:bCs/>
                <w:color w:val="auto"/>
                <w:sz w:val="18"/>
                <w:szCs w:val="18"/>
              </w:rPr>
            </w:pPr>
            <w:r w:rsidRPr="00002758">
              <w:rPr>
                <w:rFonts w:ascii="Calibri" w:hAnsi="Calibri"/>
                <w:b/>
                <w:bCs/>
                <w:color w:val="auto"/>
                <w:sz w:val="18"/>
                <w:szCs w:val="18"/>
              </w:rPr>
              <w:t>УКУПНО</w:t>
            </w:r>
          </w:p>
        </w:tc>
        <w:tc>
          <w:tcPr>
            <w:tcW w:w="992" w:type="dxa"/>
            <w:tcBorders>
              <w:top w:val="nil"/>
              <w:left w:val="nil"/>
              <w:bottom w:val="single" w:sz="4" w:space="0" w:color="auto"/>
              <w:right w:val="single" w:sz="4" w:space="0" w:color="auto"/>
            </w:tcBorders>
            <w:shd w:val="clear" w:color="000000" w:fill="8DB4E2"/>
            <w:noWrap/>
            <w:vAlign w:val="center"/>
            <w:hideMark/>
          </w:tcPr>
          <w:p w:rsidR="00002758" w:rsidRPr="00002758" w:rsidRDefault="00002758" w:rsidP="00002758">
            <w:pPr>
              <w:jc w:val="center"/>
              <w:rPr>
                <w:rFonts w:ascii="Calibri" w:hAnsi="Calibri"/>
                <w:b/>
                <w:bCs/>
                <w:color w:val="auto"/>
                <w:sz w:val="18"/>
                <w:szCs w:val="18"/>
              </w:rPr>
            </w:pPr>
            <w:r w:rsidRPr="00002758">
              <w:rPr>
                <w:rFonts w:ascii="Calibri" w:hAnsi="Calibri"/>
                <w:b/>
                <w:bCs/>
                <w:color w:val="auto"/>
                <w:sz w:val="18"/>
                <w:szCs w:val="18"/>
              </w:rPr>
              <w:t>236</w:t>
            </w:r>
          </w:p>
        </w:tc>
        <w:tc>
          <w:tcPr>
            <w:tcW w:w="1701" w:type="dxa"/>
            <w:tcBorders>
              <w:top w:val="nil"/>
              <w:left w:val="nil"/>
              <w:bottom w:val="single" w:sz="4" w:space="0" w:color="auto"/>
              <w:right w:val="single" w:sz="4" w:space="0" w:color="auto"/>
            </w:tcBorders>
            <w:shd w:val="clear" w:color="000000" w:fill="8DB4E2"/>
            <w:noWrap/>
            <w:vAlign w:val="center"/>
            <w:hideMark/>
          </w:tcPr>
          <w:p w:rsidR="00002758" w:rsidRPr="00002758" w:rsidRDefault="00002758" w:rsidP="00002758">
            <w:pPr>
              <w:jc w:val="right"/>
              <w:rPr>
                <w:rFonts w:ascii="Calibri" w:hAnsi="Calibri"/>
                <w:b/>
                <w:bCs/>
                <w:color w:val="auto"/>
                <w:sz w:val="18"/>
                <w:szCs w:val="18"/>
              </w:rPr>
            </w:pPr>
            <w:r w:rsidRPr="00002758">
              <w:rPr>
                <w:rFonts w:ascii="Calibri" w:hAnsi="Calibri"/>
                <w:b/>
                <w:bCs/>
                <w:color w:val="auto"/>
                <w:sz w:val="18"/>
                <w:szCs w:val="18"/>
              </w:rPr>
              <w:t>45.504.028,52</w:t>
            </w:r>
          </w:p>
        </w:tc>
        <w:tc>
          <w:tcPr>
            <w:tcW w:w="1701" w:type="dxa"/>
            <w:tcBorders>
              <w:top w:val="nil"/>
              <w:left w:val="nil"/>
              <w:bottom w:val="single" w:sz="4" w:space="0" w:color="auto"/>
              <w:right w:val="single" w:sz="4" w:space="0" w:color="auto"/>
            </w:tcBorders>
            <w:shd w:val="clear" w:color="000000" w:fill="8DB4E2"/>
            <w:noWrap/>
            <w:vAlign w:val="center"/>
            <w:hideMark/>
          </w:tcPr>
          <w:p w:rsidR="00002758" w:rsidRPr="00002758" w:rsidRDefault="00002758" w:rsidP="00002758">
            <w:pPr>
              <w:jc w:val="right"/>
              <w:rPr>
                <w:rFonts w:ascii="Calibri" w:hAnsi="Calibri"/>
                <w:b/>
                <w:bCs/>
                <w:color w:val="auto"/>
                <w:sz w:val="18"/>
                <w:szCs w:val="18"/>
              </w:rPr>
            </w:pPr>
            <w:r w:rsidRPr="00002758">
              <w:rPr>
                <w:rFonts w:ascii="Calibri" w:hAnsi="Calibri"/>
                <w:b/>
                <w:bCs/>
                <w:color w:val="auto"/>
                <w:sz w:val="18"/>
                <w:szCs w:val="18"/>
              </w:rPr>
              <w:t>22.752.014,26</w:t>
            </w:r>
          </w:p>
        </w:tc>
        <w:tc>
          <w:tcPr>
            <w:tcW w:w="2410" w:type="dxa"/>
            <w:tcBorders>
              <w:top w:val="nil"/>
              <w:left w:val="nil"/>
              <w:bottom w:val="single" w:sz="4" w:space="0" w:color="auto"/>
              <w:right w:val="single" w:sz="4" w:space="0" w:color="auto"/>
            </w:tcBorders>
            <w:shd w:val="clear" w:color="000000" w:fill="8DB4E2"/>
            <w:noWrap/>
            <w:vAlign w:val="center"/>
            <w:hideMark/>
          </w:tcPr>
          <w:p w:rsidR="00002758" w:rsidRPr="00002758" w:rsidRDefault="00002758" w:rsidP="00002758">
            <w:pPr>
              <w:jc w:val="right"/>
              <w:rPr>
                <w:rFonts w:ascii="Calibri" w:hAnsi="Calibri"/>
                <w:b/>
                <w:bCs/>
                <w:color w:val="auto"/>
                <w:sz w:val="18"/>
                <w:szCs w:val="18"/>
              </w:rPr>
            </w:pPr>
            <w:r w:rsidRPr="00002758">
              <w:rPr>
                <w:rFonts w:ascii="Calibri" w:hAnsi="Calibri"/>
                <w:b/>
                <w:bCs/>
                <w:color w:val="auto"/>
                <w:sz w:val="18"/>
                <w:szCs w:val="18"/>
              </w:rPr>
              <w:t>11.376.007,13</w:t>
            </w:r>
          </w:p>
        </w:tc>
      </w:tr>
    </w:tbl>
    <w:p w:rsidR="001538EF" w:rsidRPr="005767EF" w:rsidRDefault="001538EF" w:rsidP="001538EF">
      <w:pPr>
        <w:autoSpaceDE w:val="0"/>
        <w:autoSpaceDN w:val="0"/>
        <w:adjustRightInd w:val="0"/>
        <w:rPr>
          <w:rFonts w:asciiTheme="minorHAnsi" w:eastAsiaTheme="minorHAnsi" w:hAnsiTheme="minorHAnsi"/>
          <w:b/>
          <w:color w:val="auto"/>
          <w:sz w:val="20"/>
          <w:szCs w:val="20"/>
          <w:lang w:val="sr-Cyrl-BA" w:eastAsia="en-US"/>
        </w:rPr>
      </w:pPr>
    </w:p>
    <w:p w:rsidR="00254480" w:rsidRDefault="002801CF" w:rsidP="001538EF">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Од </w:t>
      </w:r>
      <w:r w:rsidR="00002758">
        <w:rPr>
          <w:rFonts w:asciiTheme="minorHAnsi" w:hAnsiTheme="minorHAnsi" w:cs="Times New Roman"/>
          <w:color w:val="auto"/>
          <w:sz w:val="20"/>
          <w:szCs w:val="20"/>
          <w:lang w:val="sr-Cyrl-BA"/>
        </w:rPr>
        <w:t>337</w:t>
      </w:r>
      <w:r>
        <w:rPr>
          <w:rFonts w:asciiTheme="minorHAnsi" w:hAnsiTheme="minorHAnsi" w:cs="Times New Roman"/>
          <w:color w:val="auto"/>
          <w:sz w:val="20"/>
          <w:szCs w:val="20"/>
          <w:lang w:val="sr-Cyrl-BA"/>
        </w:rPr>
        <w:t xml:space="preserve"> укупно пласираних кредита у оквиру кредитног портф</w:t>
      </w:r>
      <w:r w:rsidR="00002758">
        <w:rPr>
          <w:rFonts w:asciiTheme="minorHAnsi" w:hAnsiTheme="minorHAnsi" w:cs="Times New Roman"/>
          <w:color w:val="auto"/>
          <w:sz w:val="20"/>
          <w:szCs w:val="20"/>
          <w:lang w:val="sr-Cyrl-BA"/>
        </w:rPr>
        <w:t>еља</w:t>
      </w:r>
      <w:r w:rsidR="004E0037">
        <w:rPr>
          <w:rFonts w:asciiTheme="minorHAnsi" w:hAnsiTheme="minorHAnsi" w:cs="Times New Roman"/>
          <w:color w:val="auto"/>
          <w:sz w:val="20"/>
          <w:szCs w:val="20"/>
          <w:lang w:val="sr-Cyrl-BA"/>
        </w:rPr>
        <w:t>, на дан 31.12.202</w:t>
      </w:r>
      <w:r w:rsidR="00002758">
        <w:rPr>
          <w:rFonts w:asciiTheme="minorHAnsi" w:hAnsiTheme="minorHAnsi" w:cs="Times New Roman"/>
          <w:color w:val="auto"/>
          <w:sz w:val="20"/>
          <w:szCs w:val="20"/>
          <w:lang w:val="sr-Cyrl-BA"/>
        </w:rPr>
        <w:t>4</w:t>
      </w:r>
      <w:r w:rsidR="004E0037">
        <w:rPr>
          <w:rFonts w:asciiTheme="minorHAnsi" w:hAnsiTheme="minorHAnsi" w:cs="Times New Roman"/>
          <w:color w:val="auto"/>
          <w:sz w:val="20"/>
          <w:szCs w:val="20"/>
          <w:lang w:val="sr-Cyrl-BA"/>
        </w:rPr>
        <w:t xml:space="preserve">. године </w:t>
      </w:r>
      <w:r w:rsidR="00002758">
        <w:rPr>
          <w:rFonts w:asciiTheme="minorHAnsi" w:hAnsiTheme="minorHAnsi" w:cs="Times New Roman"/>
          <w:color w:val="auto"/>
          <w:sz w:val="20"/>
          <w:szCs w:val="20"/>
          <w:lang w:val="sr-Cyrl-BA"/>
        </w:rPr>
        <w:t>је</w:t>
      </w:r>
      <w:r w:rsidR="004E0037">
        <w:rPr>
          <w:rFonts w:asciiTheme="minorHAnsi" w:hAnsiTheme="minorHAnsi" w:cs="Times New Roman"/>
          <w:color w:val="auto"/>
          <w:sz w:val="20"/>
          <w:szCs w:val="20"/>
          <w:lang w:val="sr-Cyrl-BA"/>
        </w:rPr>
        <w:t xml:space="preserve">  активн</w:t>
      </w:r>
      <w:r w:rsidR="00002758">
        <w:rPr>
          <w:rFonts w:asciiTheme="minorHAnsi" w:hAnsiTheme="minorHAnsi" w:cs="Times New Roman"/>
          <w:color w:val="auto"/>
          <w:sz w:val="20"/>
          <w:szCs w:val="20"/>
          <w:lang w:val="sr-Cyrl-BA"/>
        </w:rPr>
        <w:t>о</w:t>
      </w:r>
      <w:r>
        <w:rPr>
          <w:rFonts w:asciiTheme="minorHAnsi" w:hAnsiTheme="minorHAnsi" w:cs="Times New Roman"/>
          <w:color w:val="auto"/>
          <w:sz w:val="20"/>
          <w:szCs w:val="20"/>
          <w:lang w:val="sr-Cyrl-BA"/>
        </w:rPr>
        <w:t xml:space="preserve"> </w:t>
      </w:r>
      <w:r w:rsidR="004E0037">
        <w:rPr>
          <w:rFonts w:asciiTheme="minorHAnsi" w:hAnsiTheme="minorHAnsi" w:cs="Times New Roman"/>
          <w:color w:val="auto"/>
          <w:sz w:val="20"/>
          <w:szCs w:val="20"/>
          <w:lang w:val="sr-Cyrl-BA"/>
        </w:rPr>
        <w:t>2</w:t>
      </w:r>
      <w:r w:rsidR="00002758">
        <w:rPr>
          <w:rFonts w:asciiTheme="minorHAnsi" w:hAnsiTheme="minorHAnsi" w:cs="Times New Roman"/>
          <w:color w:val="auto"/>
          <w:sz w:val="20"/>
          <w:szCs w:val="20"/>
          <w:lang w:val="sr-Cyrl-BA"/>
        </w:rPr>
        <w:t>36</w:t>
      </w:r>
      <w:r w:rsidRPr="00254480">
        <w:rPr>
          <w:rFonts w:asciiTheme="minorHAnsi" w:hAnsiTheme="minorHAnsi" w:cs="Times New Roman"/>
          <w:color w:val="auto"/>
          <w:sz w:val="20"/>
          <w:szCs w:val="20"/>
          <w:lang w:val="sr-Cyrl-BA"/>
        </w:rPr>
        <w:t xml:space="preserve"> </w:t>
      </w:r>
      <w:r w:rsidR="00836834">
        <w:rPr>
          <w:rFonts w:asciiTheme="minorHAnsi" w:hAnsiTheme="minorHAnsi" w:cs="Times New Roman"/>
          <w:color w:val="auto"/>
          <w:sz w:val="20"/>
          <w:szCs w:val="20"/>
          <w:lang w:val="sr-Cyrl-BA"/>
        </w:rPr>
        <w:t xml:space="preserve">кредита </w:t>
      </w:r>
      <w:r>
        <w:rPr>
          <w:rFonts w:asciiTheme="minorHAnsi" w:hAnsiTheme="minorHAnsi" w:cs="Times New Roman"/>
          <w:color w:val="auto"/>
          <w:sz w:val="20"/>
          <w:szCs w:val="20"/>
          <w:lang w:val="sr-Cyrl-BA"/>
        </w:rPr>
        <w:t>чије с</w:t>
      </w:r>
      <w:r w:rsidR="001538EF" w:rsidRPr="005767EF">
        <w:rPr>
          <w:rFonts w:asciiTheme="minorHAnsi" w:hAnsiTheme="minorHAnsi" w:cs="Times New Roman"/>
          <w:color w:val="auto"/>
          <w:sz w:val="20"/>
          <w:szCs w:val="20"/>
          <w:lang w:val="sr-Cyrl-BA"/>
        </w:rPr>
        <w:t xml:space="preserve">тање износи </w:t>
      </w:r>
      <w:r w:rsidR="009F6464">
        <w:rPr>
          <w:rFonts w:asciiTheme="minorHAnsi" w:hAnsiTheme="minorHAnsi" w:cs="Times New Roman"/>
          <w:color w:val="auto"/>
          <w:sz w:val="20"/>
          <w:szCs w:val="20"/>
          <w:lang w:val="sr-Cyrl-BA"/>
        </w:rPr>
        <w:t>45.504.028,52</w:t>
      </w:r>
      <w:r w:rsidR="00B769DD">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КМ. С</w:t>
      </w:r>
      <w:r w:rsidR="00B769DD">
        <w:rPr>
          <w:rFonts w:asciiTheme="minorHAnsi" w:hAnsiTheme="minorHAnsi" w:cs="Times New Roman"/>
          <w:color w:val="auto"/>
          <w:sz w:val="20"/>
          <w:szCs w:val="20"/>
          <w:lang w:val="sr-Cyrl-BA"/>
        </w:rPr>
        <w:t>тање припадајућих гаранција</w:t>
      </w:r>
      <w:r>
        <w:rPr>
          <w:rFonts w:asciiTheme="minorHAnsi" w:hAnsiTheme="minorHAnsi" w:cs="Times New Roman"/>
          <w:color w:val="auto"/>
          <w:sz w:val="20"/>
          <w:szCs w:val="20"/>
          <w:lang w:val="sr-Cyrl-BA"/>
        </w:rPr>
        <w:t xml:space="preserve"> је</w:t>
      </w:r>
      <w:r w:rsidR="001538EF" w:rsidRPr="005767EF">
        <w:rPr>
          <w:rFonts w:asciiTheme="minorHAnsi" w:hAnsiTheme="minorHAnsi" w:cs="Times New Roman"/>
          <w:color w:val="auto"/>
          <w:sz w:val="20"/>
          <w:szCs w:val="20"/>
          <w:lang w:val="sr-Cyrl-BA"/>
        </w:rPr>
        <w:t xml:space="preserve"> </w:t>
      </w:r>
      <w:r w:rsidR="00002758">
        <w:rPr>
          <w:rFonts w:asciiTheme="minorHAnsi" w:hAnsiTheme="minorHAnsi" w:cs="Times New Roman"/>
          <w:color w:val="auto"/>
          <w:sz w:val="20"/>
          <w:szCs w:val="20"/>
          <w:lang w:val="sr-Cyrl-BA"/>
        </w:rPr>
        <w:t>22.</w:t>
      </w:r>
      <w:r w:rsidR="009F6464">
        <w:rPr>
          <w:rFonts w:asciiTheme="minorHAnsi" w:hAnsiTheme="minorHAnsi" w:cs="Times New Roman"/>
          <w:color w:val="auto"/>
          <w:sz w:val="20"/>
          <w:szCs w:val="20"/>
          <w:lang w:val="sr-Cyrl-BA"/>
        </w:rPr>
        <w:t xml:space="preserve">752.014,26 </w:t>
      </w:r>
      <w:r w:rsidR="001538EF" w:rsidRPr="005767EF">
        <w:rPr>
          <w:rFonts w:asciiTheme="minorHAnsi" w:hAnsiTheme="minorHAnsi" w:cs="Times New Roman"/>
          <w:color w:val="auto"/>
          <w:sz w:val="20"/>
          <w:szCs w:val="20"/>
          <w:lang w:val="sr-Cyrl-BA"/>
        </w:rPr>
        <w:t>КМ.</w:t>
      </w:r>
      <w:r w:rsidR="00254480">
        <w:rPr>
          <w:rFonts w:asciiTheme="minorHAnsi" w:hAnsiTheme="minorHAnsi" w:cs="Times New Roman"/>
          <w:color w:val="auto"/>
          <w:sz w:val="20"/>
          <w:szCs w:val="20"/>
          <w:lang w:val="sr-Cyrl-BA"/>
        </w:rPr>
        <w:t xml:space="preserve"> Стање гаранција у оквиру општег портф</w:t>
      </w:r>
      <w:r w:rsidR="00002758">
        <w:rPr>
          <w:rFonts w:asciiTheme="minorHAnsi" w:hAnsiTheme="minorHAnsi" w:cs="Times New Roman"/>
          <w:color w:val="auto"/>
          <w:sz w:val="20"/>
          <w:szCs w:val="20"/>
          <w:lang w:val="sr-Cyrl-BA"/>
        </w:rPr>
        <w:t>еља</w:t>
      </w:r>
      <w:r w:rsidR="00254480">
        <w:rPr>
          <w:rFonts w:asciiTheme="minorHAnsi" w:hAnsiTheme="minorHAnsi" w:cs="Times New Roman"/>
          <w:color w:val="auto"/>
          <w:sz w:val="20"/>
          <w:szCs w:val="20"/>
          <w:lang w:val="sr-Cyrl-BA"/>
        </w:rPr>
        <w:t xml:space="preserve"> износи </w:t>
      </w:r>
      <w:r w:rsidR="00002758">
        <w:rPr>
          <w:rFonts w:asciiTheme="minorHAnsi" w:hAnsiTheme="minorHAnsi" w:cs="Times New Roman"/>
          <w:color w:val="auto"/>
          <w:sz w:val="20"/>
          <w:szCs w:val="20"/>
          <w:lang w:val="sr-Cyrl-BA"/>
        </w:rPr>
        <w:t>17.802.068,45</w:t>
      </w:r>
      <w:r w:rsidR="00254480">
        <w:rPr>
          <w:rFonts w:asciiTheme="minorHAnsi" w:hAnsiTheme="minorHAnsi" w:cs="Times New Roman"/>
          <w:color w:val="auto"/>
          <w:sz w:val="20"/>
          <w:szCs w:val="20"/>
          <w:lang w:val="sr-Cyrl-BA"/>
        </w:rPr>
        <w:t xml:space="preserve"> КМ, док је стање портф</w:t>
      </w:r>
      <w:r w:rsidR="00002758">
        <w:rPr>
          <w:rFonts w:asciiTheme="minorHAnsi" w:hAnsiTheme="minorHAnsi" w:cs="Times New Roman"/>
          <w:color w:val="auto"/>
          <w:sz w:val="20"/>
          <w:szCs w:val="20"/>
          <w:lang w:val="sr-Cyrl-BA"/>
        </w:rPr>
        <w:t>еља</w:t>
      </w:r>
      <w:r w:rsidR="00254480">
        <w:rPr>
          <w:rFonts w:asciiTheme="minorHAnsi" w:hAnsiTheme="minorHAnsi" w:cs="Times New Roman"/>
          <w:color w:val="auto"/>
          <w:sz w:val="20"/>
          <w:szCs w:val="20"/>
          <w:lang w:val="sr-Cyrl-BA"/>
        </w:rPr>
        <w:t xml:space="preserve"> за енергетску ефикасност </w:t>
      </w:r>
      <w:r w:rsidR="00002758">
        <w:rPr>
          <w:rFonts w:asciiTheme="minorHAnsi" w:hAnsiTheme="minorHAnsi" w:cs="Times New Roman"/>
          <w:color w:val="auto"/>
          <w:sz w:val="20"/>
          <w:szCs w:val="20"/>
          <w:lang w:val="sr-Cyrl-BA"/>
        </w:rPr>
        <w:t>4.949.945,82</w:t>
      </w:r>
      <w:r w:rsidR="00254480">
        <w:rPr>
          <w:rFonts w:asciiTheme="minorHAnsi" w:hAnsiTheme="minorHAnsi" w:cs="Times New Roman"/>
          <w:color w:val="auto"/>
          <w:sz w:val="20"/>
          <w:szCs w:val="20"/>
          <w:lang w:val="sr-Cyrl-BA"/>
        </w:rPr>
        <w:t xml:space="preserve"> КМ.</w:t>
      </w:r>
    </w:p>
    <w:p w:rsidR="00937B34" w:rsidRDefault="00937B34" w:rsidP="001538EF">
      <w:pPr>
        <w:pStyle w:val="Default"/>
        <w:jc w:val="both"/>
        <w:rPr>
          <w:rFonts w:asciiTheme="minorHAnsi" w:hAnsiTheme="minorHAnsi" w:cs="Times New Roman"/>
          <w:color w:val="auto"/>
          <w:sz w:val="20"/>
          <w:szCs w:val="20"/>
          <w:lang w:val="sr-Cyrl-BA"/>
        </w:rPr>
      </w:pPr>
    </w:p>
    <w:p w:rsidR="00937B34" w:rsidRPr="009F6464" w:rsidRDefault="00937B34" w:rsidP="001538EF">
      <w:pPr>
        <w:pStyle w:val="Default"/>
        <w:jc w:val="both"/>
        <w:rPr>
          <w:rFonts w:asciiTheme="minorHAnsi" w:hAnsiTheme="minorHAnsi" w:cs="Times New Roman"/>
          <w:color w:val="auto"/>
          <w:sz w:val="20"/>
          <w:szCs w:val="20"/>
          <w:lang w:val="sr-Cyrl-BA"/>
        </w:rPr>
      </w:pPr>
      <w:r w:rsidRPr="009F6464">
        <w:rPr>
          <w:rFonts w:asciiTheme="minorHAnsi" w:hAnsiTheme="minorHAnsi" w:cs="Times New Roman"/>
          <w:color w:val="auto"/>
          <w:sz w:val="20"/>
          <w:szCs w:val="20"/>
          <w:lang w:val="sr-Cyrl-BA"/>
        </w:rPr>
        <w:t>Највише активних кредита чини портф</w:t>
      </w:r>
      <w:r w:rsidR="009F6464" w:rsidRPr="009F6464">
        <w:rPr>
          <w:rFonts w:asciiTheme="minorHAnsi" w:hAnsiTheme="minorHAnsi" w:cs="Times New Roman"/>
          <w:color w:val="auto"/>
          <w:sz w:val="20"/>
          <w:szCs w:val="20"/>
          <w:lang w:val="sr-Cyrl-BA"/>
        </w:rPr>
        <w:t>ељ</w:t>
      </w:r>
      <w:r w:rsidRPr="009F6464">
        <w:rPr>
          <w:rFonts w:asciiTheme="minorHAnsi" w:hAnsiTheme="minorHAnsi" w:cs="Times New Roman"/>
          <w:color w:val="auto"/>
          <w:sz w:val="20"/>
          <w:szCs w:val="20"/>
          <w:lang w:val="sr-Cyrl-BA"/>
        </w:rPr>
        <w:t xml:space="preserve"> Procredit bank д.д. Сарајево, укупно </w:t>
      </w:r>
      <w:r w:rsidR="009F6464" w:rsidRPr="009F6464">
        <w:rPr>
          <w:rFonts w:asciiTheme="minorHAnsi" w:hAnsiTheme="minorHAnsi" w:cs="Times New Roman"/>
          <w:color w:val="auto"/>
          <w:sz w:val="20"/>
          <w:szCs w:val="20"/>
          <w:lang w:val="sr-Cyrl-BA"/>
        </w:rPr>
        <w:t>145</w:t>
      </w:r>
      <w:r w:rsidRPr="009F6464">
        <w:rPr>
          <w:rFonts w:asciiTheme="minorHAnsi" w:hAnsiTheme="minorHAnsi" w:cs="Times New Roman"/>
          <w:color w:val="auto"/>
          <w:sz w:val="20"/>
          <w:szCs w:val="20"/>
          <w:lang w:val="sr-Cyrl-BA"/>
        </w:rPr>
        <w:t xml:space="preserve"> кредита чије је стање </w:t>
      </w:r>
      <w:r w:rsidR="009F6464" w:rsidRPr="009F6464">
        <w:rPr>
          <w:rFonts w:ascii="Calibri" w:hAnsi="Calibri"/>
          <w:color w:val="auto"/>
          <w:sz w:val="20"/>
          <w:szCs w:val="20"/>
        </w:rPr>
        <w:t>29.949.438,63</w:t>
      </w:r>
      <w:r w:rsidR="009F6464"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 xml:space="preserve">КМ. Стање припадајућих гаранција је </w:t>
      </w:r>
      <w:r w:rsidR="009F6464" w:rsidRPr="009F6464">
        <w:rPr>
          <w:rFonts w:ascii="Calibri" w:hAnsi="Calibri"/>
          <w:color w:val="auto"/>
          <w:sz w:val="20"/>
          <w:szCs w:val="20"/>
        </w:rPr>
        <w:t>14.974.719,32</w:t>
      </w:r>
      <w:r w:rsidR="009F6464"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КМ. Портфолио Unicredit bank а.д. Бања Лука чини 59 кредита чије је стање на дан 31.12.202</w:t>
      </w:r>
      <w:r w:rsidR="009F6464" w:rsidRPr="009F6464">
        <w:rPr>
          <w:rFonts w:asciiTheme="minorHAnsi" w:hAnsiTheme="minorHAnsi" w:cs="Times New Roman"/>
          <w:color w:val="auto"/>
          <w:sz w:val="20"/>
          <w:szCs w:val="20"/>
          <w:lang w:val="sr-Cyrl-BA"/>
        </w:rPr>
        <w:t>4</w:t>
      </w:r>
      <w:r w:rsidRPr="009F6464">
        <w:rPr>
          <w:rFonts w:asciiTheme="minorHAnsi" w:hAnsiTheme="minorHAnsi" w:cs="Times New Roman"/>
          <w:color w:val="auto"/>
          <w:sz w:val="20"/>
          <w:szCs w:val="20"/>
          <w:lang w:val="sr-Cyrl-BA"/>
        </w:rPr>
        <w:t xml:space="preserve">. године </w:t>
      </w:r>
      <w:r w:rsidR="009F6464" w:rsidRPr="009F6464">
        <w:rPr>
          <w:rFonts w:ascii="Calibri" w:hAnsi="Calibri"/>
          <w:color w:val="auto"/>
          <w:sz w:val="20"/>
          <w:szCs w:val="20"/>
        </w:rPr>
        <w:t>11.322.433,67</w:t>
      </w:r>
      <w:r w:rsidR="009F6464"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КМ</w:t>
      </w:r>
      <w:r w:rsidR="009F6464" w:rsidRPr="009F6464">
        <w:rPr>
          <w:rFonts w:asciiTheme="minorHAnsi" w:hAnsiTheme="minorHAnsi" w:cs="Times New Roman"/>
          <w:color w:val="auto"/>
          <w:sz w:val="20"/>
          <w:szCs w:val="20"/>
          <w:lang w:val="sr-Cyrl-BA"/>
        </w:rPr>
        <w:t xml:space="preserve">,  док је стање гаранција </w:t>
      </w:r>
      <w:r w:rsidR="009F6464" w:rsidRPr="009F6464">
        <w:rPr>
          <w:rFonts w:ascii="Calibri" w:hAnsi="Calibri"/>
          <w:color w:val="auto"/>
          <w:sz w:val="20"/>
          <w:szCs w:val="20"/>
        </w:rPr>
        <w:t>5.661.216,84</w:t>
      </w:r>
      <w:r w:rsidR="009F6464" w:rsidRPr="009F6464">
        <w:rPr>
          <w:rFonts w:asciiTheme="minorHAnsi" w:hAnsiTheme="minorHAnsi" w:cs="Times New Roman"/>
          <w:color w:val="auto"/>
          <w:sz w:val="20"/>
          <w:szCs w:val="20"/>
          <w:lang w:val="sr-Cyrl-BA"/>
        </w:rPr>
        <w:t xml:space="preserve"> КМ</w:t>
      </w:r>
      <w:r w:rsidRPr="009F6464">
        <w:rPr>
          <w:rFonts w:asciiTheme="minorHAnsi" w:hAnsiTheme="minorHAnsi" w:cs="Times New Roman"/>
          <w:color w:val="auto"/>
          <w:sz w:val="20"/>
          <w:szCs w:val="20"/>
          <w:lang w:val="sr-Cyrl-BA"/>
        </w:rPr>
        <w:t>. На трећем мјесту је</w:t>
      </w:r>
      <w:r w:rsidR="009F6464" w:rsidRPr="009F6464">
        <w:rPr>
          <w:rFonts w:ascii="Calibri" w:hAnsi="Calibri"/>
          <w:color w:val="auto"/>
          <w:sz w:val="20"/>
          <w:szCs w:val="20"/>
        </w:rPr>
        <w:t xml:space="preserve"> SPARKASSE BANK d.d. Bosna i Hercegovina</w:t>
      </w:r>
      <w:r w:rsidRPr="009F6464">
        <w:rPr>
          <w:rFonts w:asciiTheme="minorHAnsi" w:hAnsiTheme="minorHAnsi" w:cs="Times New Roman"/>
          <w:color w:val="auto"/>
          <w:sz w:val="20"/>
          <w:szCs w:val="20"/>
          <w:lang w:val="sr-Cyrl-BA"/>
        </w:rPr>
        <w:t xml:space="preserve">, чији портфолио чини </w:t>
      </w:r>
      <w:r w:rsidR="009F6464" w:rsidRPr="009F6464">
        <w:rPr>
          <w:rFonts w:asciiTheme="minorHAnsi" w:hAnsiTheme="minorHAnsi" w:cs="Times New Roman"/>
          <w:color w:val="auto"/>
          <w:sz w:val="20"/>
          <w:szCs w:val="20"/>
          <w:lang w:val="sr-Cyrl-BA"/>
        </w:rPr>
        <w:t>10</w:t>
      </w:r>
      <w:r w:rsidRPr="009F6464">
        <w:rPr>
          <w:rFonts w:asciiTheme="minorHAnsi" w:hAnsiTheme="minorHAnsi" w:cs="Times New Roman"/>
          <w:color w:val="auto"/>
          <w:sz w:val="20"/>
          <w:szCs w:val="20"/>
          <w:lang w:val="sr-Cyrl-BA"/>
        </w:rPr>
        <w:t xml:space="preserve"> активних кредита у износу од </w:t>
      </w:r>
      <w:r w:rsidR="009F6464" w:rsidRPr="009F6464">
        <w:rPr>
          <w:rFonts w:ascii="Calibri" w:hAnsi="Calibri"/>
          <w:color w:val="auto"/>
          <w:sz w:val="20"/>
          <w:szCs w:val="20"/>
        </w:rPr>
        <w:t>2.766.971,69</w:t>
      </w:r>
      <w:r w:rsidR="009F6464"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КМ.</w:t>
      </w:r>
      <w:r w:rsidR="009F6464" w:rsidRPr="009F6464">
        <w:rPr>
          <w:rFonts w:asciiTheme="minorHAnsi" w:hAnsiTheme="minorHAnsi" w:cs="Times New Roman"/>
          <w:color w:val="auto"/>
          <w:sz w:val="20"/>
          <w:szCs w:val="20"/>
          <w:lang w:val="sr-Cyrl-BA"/>
        </w:rPr>
        <w:t xml:space="preserve"> Стање припадајућих гаранција је </w:t>
      </w:r>
      <w:r w:rsidR="009F6464" w:rsidRPr="009F6464">
        <w:rPr>
          <w:rFonts w:ascii="Calibri" w:hAnsi="Calibri"/>
          <w:color w:val="auto"/>
          <w:sz w:val="20"/>
          <w:szCs w:val="20"/>
        </w:rPr>
        <w:t>1.383.485,85</w:t>
      </w:r>
      <w:r w:rsidR="009F6464" w:rsidRPr="009F6464">
        <w:rPr>
          <w:rFonts w:ascii="Calibri" w:hAnsi="Calibri"/>
          <w:color w:val="auto"/>
          <w:sz w:val="20"/>
          <w:szCs w:val="20"/>
          <w:lang w:val="sr-Cyrl-RS"/>
        </w:rPr>
        <w:t xml:space="preserve"> </w:t>
      </w:r>
      <w:r w:rsidR="009F6464" w:rsidRPr="009F6464">
        <w:rPr>
          <w:rFonts w:asciiTheme="minorHAnsi" w:hAnsiTheme="minorHAnsi" w:cs="Times New Roman"/>
          <w:color w:val="auto"/>
          <w:sz w:val="20"/>
          <w:szCs w:val="20"/>
          <w:lang w:val="sr-Cyrl-BA"/>
        </w:rPr>
        <w:t>КМ.</w:t>
      </w:r>
    </w:p>
    <w:p w:rsidR="005541C1" w:rsidRDefault="005541C1" w:rsidP="001538EF">
      <w:pPr>
        <w:pStyle w:val="Default"/>
        <w:jc w:val="both"/>
        <w:rPr>
          <w:rFonts w:asciiTheme="minorHAnsi" w:hAnsiTheme="minorHAnsi" w:cs="Times New Roman"/>
          <w:color w:val="auto"/>
          <w:sz w:val="20"/>
          <w:szCs w:val="20"/>
          <w:lang w:val="sr-Cyrl-BA"/>
        </w:rPr>
      </w:pPr>
    </w:p>
    <w:p w:rsidR="007460B5" w:rsidRDefault="002801CF" w:rsidP="001538EF">
      <w:pPr>
        <w:pStyle w:val="Default"/>
        <w:jc w:val="both"/>
        <w:rPr>
          <w:rFonts w:asciiTheme="minorHAnsi" w:hAnsiTheme="minorHAnsi"/>
          <w:color w:val="000000" w:themeColor="text1"/>
          <w:sz w:val="20"/>
          <w:szCs w:val="20"/>
          <w:lang w:val="sr-Cyrl-BA"/>
        </w:rPr>
      </w:pPr>
      <w:r w:rsidRPr="0033285C">
        <w:rPr>
          <w:rFonts w:asciiTheme="minorHAnsi" w:hAnsiTheme="minorHAnsi"/>
          <w:color w:val="000000" w:themeColor="text1"/>
          <w:sz w:val="20"/>
          <w:szCs w:val="20"/>
          <w:lang w:val="sr-Cyrl-BA"/>
        </w:rPr>
        <w:t xml:space="preserve">Ван снаге по основу пријевремене отплате кредита или редовног истека </w:t>
      </w:r>
      <w:r w:rsidR="0033285C" w:rsidRPr="0033285C">
        <w:rPr>
          <w:rFonts w:asciiTheme="minorHAnsi" w:hAnsiTheme="minorHAnsi"/>
          <w:color w:val="000000" w:themeColor="text1"/>
          <w:sz w:val="20"/>
          <w:szCs w:val="20"/>
          <w:lang w:val="sr-Cyrl-BA"/>
        </w:rPr>
        <w:t>је</w:t>
      </w:r>
      <w:r w:rsidR="004E0037" w:rsidRPr="0033285C">
        <w:rPr>
          <w:rFonts w:asciiTheme="minorHAnsi" w:hAnsiTheme="minorHAnsi"/>
          <w:color w:val="000000" w:themeColor="text1"/>
          <w:sz w:val="20"/>
          <w:szCs w:val="20"/>
          <w:lang w:val="sr-Cyrl-BA"/>
        </w:rPr>
        <w:t xml:space="preserve"> </w:t>
      </w:r>
      <w:r w:rsidR="0033285C" w:rsidRPr="0033285C">
        <w:rPr>
          <w:rFonts w:asciiTheme="minorHAnsi" w:hAnsiTheme="minorHAnsi"/>
          <w:color w:val="000000" w:themeColor="text1"/>
          <w:sz w:val="20"/>
          <w:szCs w:val="20"/>
          <w:lang w:val="sr-Cyrl-BA"/>
        </w:rPr>
        <w:t>током 2024. године</w:t>
      </w:r>
      <w:r w:rsidR="00937B34" w:rsidRPr="0033285C">
        <w:rPr>
          <w:rFonts w:asciiTheme="minorHAnsi" w:hAnsiTheme="minorHAnsi"/>
          <w:color w:val="000000" w:themeColor="text1"/>
          <w:sz w:val="20"/>
          <w:szCs w:val="20"/>
          <w:lang w:val="sr-Cyrl-BA"/>
        </w:rPr>
        <w:t xml:space="preserve"> </w:t>
      </w:r>
      <w:r w:rsidR="004E0037" w:rsidRPr="0033285C">
        <w:rPr>
          <w:rFonts w:asciiTheme="minorHAnsi" w:hAnsiTheme="minorHAnsi"/>
          <w:color w:val="000000" w:themeColor="text1"/>
          <w:sz w:val="20"/>
          <w:szCs w:val="20"/>
          <w:lang w:val="sr-Cyrl-BA"/>
        </w:rPr>
        <w:t>стављен</w:t>
      </w:r>
      <w:r w:rsidR="0033285C" w:rsidRPr="0033285C">
        <w:rPr>
          <w:rFonts w:asciiTheme="minorHAnsi" w:hAnsiTheme="minorHAnsi"/>
          <w:color w:val="000000" w:themeColor="text1"/>
          <w:sz w:val="20"/>
          <w:szCs w:val="20"/>
          <w:lang w:val="sr-Cyrl-BA"/>
        </w:rPr>
        <w:t>о</w:t>
      </w:r>
      <w:r w:rsidRPr="0033285C">
        <w:rPr>
          <w:rFonts w:asciiTheme="minorHAnsi" w:hAnsiTheme="minorHAnsi"/>
          <w:color w:val="000000" w:themeColor="text1"/>
          <w:sz w:val="20"/>
          <w:szCs w:val="20"/>
          <w:lang w:val="sr-Cyrl-BA"/>
        </w:rPr>
        <w:t xml:space="preserve"> </w:t>
      </w:r>
      <w:r w:rsidR="0033285C" w:rsidRPr="0033285C">
        <w:rPr>
          <w:rFonts w:asciiTheme="minorHAnsi" w:hAnsiTheme="minorHAnsi"/>
          <w:color w:val="000000" w:themeColor="text1"/>
          <w:sz w:val="20"/>
          <w:szCs w:val="20"/>
          <w:lang w:val="sr-Cyrl-BA"/>
        </w:rPr>
        <w:t>50</w:t>
      </w:r>
      <w:r w:rsidRPr="0033285C">
        <w:rPr>
          <w:rFonts w:asciiTheme="minorHAnsi" w:hAnsiTheme="minorHAnsi"/>
          <w:color w:val="000000" w:themeColor="text1"/>
          <w:sz w:val="20"/>
          <w:szCs w:val="20"/>
          <w:lang w:val="sr-Cyrl-BA"/>
        </w:rPr>
        <w:t xml:space="preserve"> </w:t>
      </w:r>
      <w:r w:rsidRPr="007E2AAA">
        <w:rPr>
          <w:rFonts w:asciiTheme="minorHAnsi" w:hAnsiTheme="minorHAnsi"/>
          <w:color w:val="000000" w:themeColor="text1"/>
          <w:sz w:val="20"/>
          <w:szCs w:val="20"/>
          <w:lang w:val="sr-Cyrl-BA"/>
        </w:rPr>
        <w:t>г</w:t>
      </w:r>
      <w:r w:rsidR="0033285C" w:rsidRPr="007E2AAA">
        <w:rPr>
          <w:rFonts w:asciiTheme="minorHAnsi" w:hAnsiTheme="minorHAnsi"/>
          <w:color w:val="000000" w:themeColor="text1"/>
          <w:sz w:val="20"/>
          <w:szCs w:val="20"/>
          <w:lang w:val="sr-Cyrl-BA"/>
        </w:rPr>
        <w:t>аранција из кредитног портфеља одобрених у номиналном износу од 5.801.071,00 КМ</w:t>
      </w:r>
      <w:r w:rsidR="004E0037" w:rsidRPr="007E2AAA">
        <w:rPr>
          <w:rFonts w:asciiTheme="minorHAnsi" w:hAnsiTheme="minorHAnsi"/>
          <w:color w:val="000000" w:themeColor="text1"/>
          <w:sz w:val="20"/>
          <w:szCs w:val="20"/>
          <w:lang w:val="sr-Cyrl-BA"/>
        </w:rPr>
        <w:t xml:space="preserve">. </w:t>
      </w:r>
      <w:r w:rsidR="0033285C" w:rsidRPr="007E2AAA">
        <w:rPr>
          <w:rFonts w:asciiTheme="minorHAnsi" w:hAnsiTheme="minorHAnsi"/>
          <w:color w:val="000000" w:themeColor="text1"/>
          <w:sz w:val="20"/>
          <w:szCs w:val="20"/>
          <w:lang w:val="sr-Cyrl-BA"/>
        </w:rPr>
        <w:t>Током године су п</w:t>
      </w:r>
      <w:r w:rsidRPr="007E2AAA">
        <w:rPr>
          <w:rFonts w:asciiTheme="minorHAnsi" w:hAnsiTheme="minorHAnsi"/>
          <w:color w:val="000000" w:themeColor="text1"/>
          <w:sz w:val="20"/>
          <w:szCs w:val="20"/>
          <w:lang w:val="sr-Cyrl-BA"/>
        </w:rPr>
        <w:t>ротестован</w:t>
      </w:r>
      <w:r w:rsidR="0033285C" w:rsidRPr="007E2AAA">
        <w:rPr>
          <w:rFonts w:asciiTheme="minorHAnsi" w:hAnsiTheme="minorHAnsi"/>
          <w:color w:val="000000" w:themeColor="text1"/>
          <w:sz w:val="20"/>
          <w:szCs w:val="20"/>
          <w:lang w:val="sr-Cyrl-BA"/>
        </w:rPr>
        <w:t xml:space="preserve">е 3 гаранције,  од чега је за двије гаранције у износу од 97.430,62 КМ утврђено да нису испуњени услови за плаћање, те су оба захтјева одбијена. </w:t>
      </w:r>
      <w:r w:rsidR="007E2AAA" w:rsidRPr="007E2AAA">
        <w:rPr>
          <w:rFonts w:asciiTheme="minorHAnsi" w:hAnsiTheme="minorHAnsi"/>
          <w:color w:val="000000" w:themeColor="text1"/>
          <w:sz w:val="20"/>
          <w:szCs w:val="20"/>
          <w:lang w:val="sr-Cyrl-BA"/>
        </w:rPr>
        <w:t>Трећи захтјев је пр</w:t>
      </w:r>
      <w:r w:rsidR="0033285C" w:rsidRPr="007E2AAA">
        <w:rPr>
          <w:rFonts w:asciiTheme="minorHAnsi" w:hAnsiTheme="minorHAnsi"/>
          <w:color w:val="000000" w:themeColor="text1"/>
          <w:sz w:val="20"/>
          <w:szCs w:val="20"/>
          <w:lang w:val="sr-Cyrl-BA"/>
        </w:rPr>
        <w:t xml:space="preserve">ихваћен, а поред њега је извршено и плаћање </w:t>
      </w:r>
      <w:r w:rsidR="007E2AAA" w:rsidRPr="007E2AAA">
        <w:rPr>
          <w:rFonts w:asciiTheme="minorHAnsi" w:hAnsiTheme="minorHAnsi"/>
          <w:color w:val="000000" w:themeColor="text1"/>
          <w:sz w:val="20"/>
          <w:szCs w:val="20"/>
          <w:lang w:val="sr-Cyrl-BA"/>
        </w:rPr>
        <w:t>гаранције за коју</w:t>
      </w:r>
      <w:r w:rsidR="0033285C" w:rsidRPr="007E2AAA">
        <w:rPr>
          <w:rFonts w:asciiTheme="minorHAnsi" w:hAnsiTheme="minorHAnsi"/>
          <w:color w:val="000000" w:themeColor="text1"/>
          <w:sz w:val="20"/>
          <w:szCs w:val="20"/>
          <w:lang w:val="sr-Cyrl-BA"/>
        </w:rPr>
        <w:t xml:space="preserve"> је захтјев упућен крајем 2023. године.</w:t>
      </w:r>
      <w:r w:rsidRPr="007E2AAA">
        <w:rPr>
          <w:rFonts w:asciiTheme="minorHAnsi" w:hAnsiTheme="minorHAnsi"/>
          <w:color w:val="000000" w:themeColor="text1"/>
          <w:sz w:val="20"/>
          <w:szCs w:val="20"/>
          <w:lang w:val="sr-Cyrl-BA"/>
        </w:rPr>
        <w:t xml:space="preserve"> </w:t>
      </w:r>
      <w:r w:rsidR="0033285C" w:rsidRPr="007E2AAA">
        <w:rPr>
          <w:rFonts w:asciiTheme="minorHAnsi" w:hAnsiTheme="minorHAnsi"/>
          <w:color w:val="000000" w:themeColor="text1"/>
          <w:sz w:val="20"/>
          <w:szCs w:val="20"/>
          <w:lang w:val="sr-Cyrl-BA"/>
        </w:rPr>
        <w:t xml:space="preserve">Сви наведени захтјеви су поднесени од стране </w:t>
      </w:r>
      <w:r w:rsidR="007E2AAA" w:rsidRPr="007E2AAA">
        <w:rPr>
          <w:rFonts w:asciiTheme="minorHAnsi" w:hAnsiTheme="minorHAnsi"/>
          <w:color w:val="000000" w:themeColor="text1"/>
          <w:sz w:val="20"/>
          <w:szCs w:val="20"/>
          <w:lang w:val="sr-Cyrl-BA"/>
        </w:rPr>
        <w:t>МФ банке, а по основу два прихваћена захтјева је и</w:t>
      </w:r>
      <w:r w:rsidR="0033285C" w:rsidRPr="007E2AAA">
        <w:rPr>
          <w:rFonts w:asciiTheme="minorHAnsi" w:hAnsiTheme="minorHAnsi"/>
          <w:color w:val="000000" w:themeColor="text1"/>
          <w:sz w:val="20"/>
          <w:szCs w:val="20"/>
          <w:lang w:val="sr-Cyrl-BA"/>
        </w:rPr>
        <w:t>звршено је плаћ</w:t>
      </w:r>
      <w:r w:rsidR="007E2AAA" w:rsidRPr="007E2AAA">
        <w:rPr>
          <w:rFonts w:asciiTheme="minorHAnsi" w:hAnsiTheme="minorHAnsi"/>
          <w:color w:val="000000" w:themeColor="text1"/>
          <w:sz w:val="20"/>
          <w:szCs w:val="20"/>
          <w:lang w:val="sr-Cyrl-BA"/>
        </w:rPr>
        <w:t>ање</w:t>
      </w:r>
      <w:r w:rsidR="0033285C" w:rsidRPr="007E2AAA">
        <w:rPr>
          <w:rFonts w:asciiTheme="minorHAnsi" w:hAnsiTheme="minorHAnsi"/>
          <w:color w:val="000000" w:themeColor="text1"/>
          <w:sz w:val="20"/>
          <w:szCs w:val="20"/>
          <w:lang w:val="sr-Cyrl-BA"/>
        </w:rPr>
        <w:t xml:space="preserve"> у износу од </w:t>
      </w:r>
      <w:r w:rsidR="007E2AAA" w:rsidRPr="007E2AAA">
        <w:rPr>
          <w:rFonts w:asciiTheme="minorHAnsi" w:hAnsiTheme="minorHAnsi"/>
          <w:color w:val="000000" w:themeColor="text1"/>
          <w:sz w:val="20"/>
          <w:szCs w:val="20"/>
          <w:lang w:val="sr-Cyrl-BA"/>
        </w:rPr>
        <w:t xml:space="preserve">56.323,90 КМ. </w:t>
      </w:r>
    </w:p>
    <w:p w:rsidR="007E2AAA" w:rsidRDefault="007E2AAA" w:rsidP="001538EF">
      <w:pPr>
        <w:pStyle w:val="Default"/>
        <w:jc w:val="both"/>
        <w:rPr>
          <w:rFonts w:asciiTheme="minorHAnsi" w:hAnsiTheme="minorHAnsi"/>
          <w:color w:val="auto"/>
          <w:sz w:val="20"/>
          <w:szCs w:val="20"/>
          <w:lang w:val="sr-Cyrl-BA"/>
        </w:rPr>
      </w:pPr>
    </w:p>
    <w:p w:rsidR="001538EF" w:rsidRPr="007E2AAA" w:rsidRDefault="00B769DD" w:rsidP="001538EF">
      <w:pPr>
        <w:pStyle w:val="Default"/>
        <w:jc w:val="both"/>
        <w:rPr>
          <w:rFonts w:asciiTheme="minorHAnsi" w:hAnsiTheme="minorHAnsi" w:cs="Times New Roman"/>
          <w:color w:val="auto"/>
          <w:sz w:val="20"/>
          <w:szCs w:val="20"/>
          <w:lang w:val="sr-Cyrl-RS"/>
        </w:rPr>
      </w:pPr>
      <w:r>
        <w:rPr>
          <w:rFonts w:asciiTheme="minorHAnsi" w:hAnsiTheme="minorHAnsi" w:cs="Times New Roman"/>
          <w:color w:val="auto"/>
          <w:sz w:val="20"/>
          <w:szCs w:val="20"/>
          <w:lang w:val="sr-Cyrl-BA"/>
        </w:rPr>
        <w:t>И</w:t>
      </w:r>
      <w:r w:rsidR="002801CF">
        <w:rPr>
          <w:rFonts w:asciiTheme="minorHAnsi" w:hAnsiTheme="minorHAnsi" w:cs="Times New Roman"/>
          <w:color w:val="auto"/>
          <w:sz w:val="20"/>
          <w:szCs w:val="20"/>
          <w:lang w:val="sr-Cyrl-BA"/>
        </w:rPr>
        <w:t>ако је стопа гарантованог износа по појединачном кредиту</w:t>
      </w:r>
      <w:r>
        <w:rPr>
          <w:rFonts w:asciiTheme="minorHAnsi" w:hAnsiTheme="minorHAnsi" w:cs="Times New Roman"/>
          <w:color w:val="auto"/>
          <w:sz w:val="20"/>
          <w:szCs w:val="20"/>
          <w:lang w:val="sr-Cyrl-BA"/>
        </w:rPr>
        <w:t xml:space="preserve"> 50%, прописан је максимални дозвоље</w:t>
      </w:r>
      <w:r w:rsidR="007460B5">
        <w:rPr>
          <w:rFonts w:asciiTheme="minorHAnsi" w:hAnsiTheme="minorHAnsi" w:cs="Times New Roman"/>
          <w:color w:val="auto"/>
          <w:sz w:val="20"/>
          <w:szCs w:val="20"/>
          <w:lang w:val="sr-Cyrl-BA"/>
        </w:rPr>
        <w:t>ни износ гаранције, односно мак</w:t>
      </w:r>
      <w:r>
        <w:rPr>
          <w:rFonts w:asciiTheme="minorHAnsi" w:hAnsiTheme="minorHAnsi" w:cs="Times New Roman"/>
          <w:color w:val="auto"/>
          <w:sz w:val="20"/>
          <w:szCs w:val="20"/>
          <w:lang w:val="sr-Cyrl-BA"/>
        </w:rPr>
        <w:t>симална изложеност на нивоу кредитног портфолија која износи 25</w:t>
      </w:r>
      <w:r w:rsidRPr="007E2AAA">
        <w:rPr>
          <w:rFonts w:asciiTheme="minorHAnsi" w:hAnsiTheme="minorHAnsi" w:cs="Times New Roman"/>
          <w:color w:val="000000" w:themeColor="text1"/>
          <w:sz w:val="20"/>
          <w:szCs w:val="20"/>
          <w:lang w:val="sr-Cyrl-BA"/>
        </w:rPr>
        <w:t>% вриједности портф</w:t>
      </w:r>
      <w:r w:rsidR="009F6464" w:rsidRPr="007E2AAA">
        <w:rPr>
          <w:rFonts w:asciiTheme="minorHAnsi" w:hAnsiTheme="minorHAnsi" w:cs="Times New Roman"/>
          <w:color w:val="000000" w:themeColor="text1"/>
          <w:sz w:val="20"/>
          <w:szCs w:val="20"/>
          <w:lang w:val="sr-Cyrl-BA"/>
        </w:rPr>
        <w:t>еља.</w:t>
      </w:r>
      <w:r w:rsidR="007E2AAA" w:rsidRPr="007E2AAA">
        <w:rPr>
          <w:rFonts w:asciiTheme="minorHAnsi" w:hAnsiTheme="minorHAnsi" w:cs="Times New Roman"/>
          <w:color w:val="000000" w:themeColor="text1"/>
          <w:sz w:val="20"/>
          <w:szCs w:val="20"/>
          <w:lang w:val="sr-Cyrl-BA"/>
        </w:rPr>
        <w:t xml:space="preserve"> Максимални дозвољени износ гаранције на дан 31.12.2024. године износи  </w:t>
      </w:r>
    </w:p>
    <w:p w:rsidR="005541C1" w:rsidRPr="005767EF" w:rsidRDefault="005541C1" w:rsidP="001538EF">
      <w:pPr>
        <w:pStyle w:val="Default"/>
        <w:jc w:val="both"/>
        <w:rPr>
          <w:rFonts w:asciiTheme="minorHAnsi" w:hAnsiTheme="minorHAnsi" w:cs="Times New Roman"/>
          <w:color w:val="auto"/>
          <w:sz w:val="20"/>
          <w:szCs w:val="20"/>
          <w:lang w:val="sr-Cyrl-BA"/>
        </w:rPr>
      </w:pPr>
    </w:p>
    <w:p w:rsidR="009051D2" w:rsidRDefault="00B769DD" w:rsidP="00705FDC">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Наиме, члан 2, </w:t>
      </w:r>
      <w:r w:rsidR="001538EF" w:rsidRPr="005767EF">
        <w:rPr>
          <w:rFonts w:asciiTheme="minorHAnsi" w:hAnsiTheme="minorHAnsi" w:cs="Times New Roman"/>
          <w:color w:val="auto"/>
          <w:sz w:val="20"/>
          <w:szCs w:val="20"/>
          <w:lang w:val="sr-Cyrl-BA"/>
        </w:rPr>
        <w:t>став 5  Правилни</w:t>
      </w:r>
      <w:r>
        <w:rPr>
          <w:rFonts w:asciiTheme="minorHAnsi" w:hAnsiTheme="minorHAnsi" w:cs="Times New Roman"/>
          <w:color w:val="auto"/>
          <w:sz w:val="20"/>
          <w:szCs w:val="20"/>
          <w:lang w:val="sr-Cyrl-BA"/>
        </w:rPr>
        <w:t xml:space="preserve">ка о одобравању гаранција </w:t>
      </w:r>
      <w:r w:rsidR="002801CF">
        <w:rPr>
          <w:rFonts w:asciiTheme="minorHAnsi" w:hAnsiTheme="minorHAnsi" w:cs="Times New Roman"/>
          <w:color w:val="auto"/>
          <w:sz w:val="20"/>
          <w:szCs w:val="20"/>
          <w:lang w:val="sr-Cyrl-BA"/>
        </w:rPr>
        <w:t xml:space="preserve">прописује </w:t>
      </w:r>
      <w:r w:rsidR="001538EF" w:rsidRPr="005767EF">
        <w:rPr>
          <w:rFonts w:asciiTheme="minorHAnsi" w:hAnsiTheme="minorHAnsi" w:cs="Times New Roman"/>
          <w:color w:val="auto"/>
          <w:sz w:val="20"/>
          <w:szCs w:val="20"/>
          <w:lang w:val="sr-Cyrl-BA"/>
        </w:rPr>
        <w:t xml:space="preserve"> да се г</w:t>
      </w:r>
      <w:r>
        <w:rPr>
          <w:rFonts w:asciiTheme="minorHAnsi" w:hAnsiTheme="minorHAnsi" w:cs="Times New Roman"/>
          <w:color w:val="auto"/>
          <w:sz w:val="20"/>
          <w:szCs w:val="20"/>
          <w:lang w:val="sr-Latn-RS"/>
        </w:rPr>
        <w:t>аранцијом по портф</w:t>
      </w:r>
      <w:r>
        <w:rPr>
          <w:rFonts w:asciiTheme="minorHAnsi" w:hAnsiTheme="minorHAnsi" w:cs="Times New Roman"/>
          <w:color w:val="auto"/>
          <w:sz w:val="20"/>
          <w:szCs w:val="20"/>
          <w:lang w:val="sr-Cyrl-RS"/>
        </w:rPr>
        <w:t>олиј</w:t>
      </w:r>
      <w:r w:rsidR="001538EF" w:rsidRPr="005767EF">
        <w:rPr>
          <w:rFonts w:asciiTheme="minorHAnsi" w:hAnsiTheme="minorHAnsi" w:cs="Times New Roman"/>
          <w:color w:val="auto"/>
          <w:sz w:val="20"/>
          <w:szCs w:val="20"/>
          <w:lang w:val="sr-Latn-RS"/>
        </w:rPr>
        <w:t>у одређене банке или друге финансијске институције гарантује исплата ма</w:t>
      </w:r>
      <w:r>
        <w:rPr>
          <w:rFonts w:asciiTheme="minorHAnsi" w:hAnsiTheme="minorHAnsi" w:cs="Times New Roman"/>
          <w:color w:val="auto"/>
          <w:sz w:val="20"/>
          <w:szCs w:val="20"/>
          <w:lang w:val="sr-Latn-RS"/>
        </w:rPr>
        <w:t>ксимално до 25% укупн</w:t>
      </w:r>
      <w:r>
        <w:rPr>
          <w:rFonts w:asciiTheme="minorHAnsi" w:hAnsiTheme="minorHAnsi" w:cs="Times New Roman"/>
          <w:color w:val="auto"/>
          <w:sz w:val="20"/>
          <w:szCs w:val="20"/>
          <w:lang w:val="sr-Cyrl-RS"/>
        </w:rPr>
        <w:t xml:space="preserve">е вриједности портфолија. У складу с тим, </w:t>
      </w:r>
      <w:r>
        <w:rPr>
          <w:rFonts w:asciiTheme="minorHAnsi" w:hAnsiTheme="minorHAnsi" w:cs="Times New Roman"/>
          <w:color w:val="auto"/>
          <w:sz w:val="20"/>
          <w:szCs w:val="20"/>
          <w:lang w:val="sr-Cyrl-BA"/>
        </w:rPr>
        <w:t>изложеност Гарантног фонда</w:t>
      </w:r>
      <w:r w:rsidR="001538EF" w:rsidRPr="005767EF">
        <w:rPr>
          <w:rFonts w:asciiTheme="minorHAnsi" w:hAnsiTheme="minorHAnsi" w:cs="Times New Roman"/>
          <w:color w:val="auto"/>
          <w:sz w:val="20"/>
          <w:szCs w:val="20"/>
          <w:lang w:val="sr-Cyrl-BA"/>
        </w:rPr>
        <w:t xml:space="preserve"> по изданим г</w:t>
      </w:r>
      <w:r>
        <w:rPr>
          <w:rFonts w:asciiTheme="minorHAnsi" w:hAnsiTheme="minorHAnsi" w:cs="Times New Roman"/>
          <w:color w:val="auto"/>
          <w:sz w:val="20"/>
          <w:szCs w:val="20"/>
          <w:lang w:val="sr-Cyrl-BA"/>
        </w:rPr>
        <w:t>аранцијама из кредитног портфолија</w:t>
      </w:r>
      <w:r w:rsidR="001538EF" w:rsidRPr="005767EF">
        <w:rPr>
          <w:rFonts w:asciiTheme="minorHAnsi" w:hAnsiTheme="minorHAnsi" w:cs="Times New Roman"/>
          <w:color w:val="auto"/>
          <w:sz w:val="20"/>
          <w:szCs w:val="20"/>
          <w:lang w:val="sr-Cyrl-BA"/>
        </w:rPr>
        <w:t xml:space="preserve"> </w:t>
      </w:r>
      <w:r w:rsidR="007E2AAA">
        <w:rPr>
          <w:rFonts w:asciiTheme="minorHAnsi" w:hAnsiTheme="minorHAnsi" w:cs="Times New Roman"/>
          <w:color w:val="auto"/>
          <w:sz w:val="20"/>
          <w:szCs w:val="20"/>
          <w:lang w:val="sr-Cyrl-BA"/>
        </w:rPr>
        <w:t>на дан 31.12.2024</w:t>
      </w:r>
      <w:r>
        <w:rPr>
          <w:rFonts w:asciiTheme="minorHAnsi" w:hAnsiTheme="minorHAnsi" w:cs="Times New Roman"/>
          <w:color w:val="auto"/>
          <w:sz w:val="20"/>
          <w:szCs w:val="20"/>
          <w:lang w:val="sr-Cyrl-BA"/>
        </w:rPr>
        <w:t xml:space="preserve">. године износи </w:t>
      </w:r>
      <w:r w:rsidR="007E2AAA" w:rsidRPr="007E2AAA">
        <w:rPr>
          <w:rFonts w:ascii="Calibri" w:hAnsi="Calibri"/>
          <w:bCs/>
          <w:color w:val="000000" w:themeColor="text1"/>
          <w:sz w:val="20"/>
          <w:szCs w:val="20"/>
        </w:rPr>
        <w:t>11.376.007,13</w:t>
      </w:r>
      <w:r w:rsidR="007E2AAA">
        <w:rPr>
          <w:rFonts w:ascii="Calibri" w:hAnsi="Calibri"/>
          <w:bCs/>
          <w:color w:val="000000" w:themeColor="text1"/>
          <w:sz w:val="20"/>
          <w:szCs w:val="20"/>
          <w:lang w:val="sr-Cyrl-RS"/>
        </w:rPr>
        <w:t xml:space="preserve"> КМ</w:t>
      </w:r>
      <w:r>
        <w:rPr>
          <w:rFonts w:asciiTheme="minorHAnsi" w:hAnsiTheme="minorHAnsi" w:cs="Times New Roman"/>
          <w:color w:val="auto"/>
          <w:sz w:val="20"/>
          <w:szCs w:val="20"/>
          <w:lang w:val="sr-Cyrl-BA"/>
        </w:rPr>
        <w:t xml:space="preserve">.  </w:t>
      </w:r>
      <w:r w:rsidR="00937B34">
        <w:rPr>
          <w:rFonts w:asciiTheme="minorHAnsi" w:hAnsiTheme="minorHAnsi" w:cs="Times New Roman"/>
          <w:color w:val="auto"/>
          <w:sz w:val="20"/>
          <w:szCs w:val="20"/>
          <w:lang w:val="sr-Cyrl-BA"/>
        </w:rPr>
        <w:t xml:space="preserve">Највећа је изложеност према </w:t>
      </w:r>
      <w:r w:rsidR="00035CC3" w:rsidRPr="00035CC3">
        <w:rPr>
          <w:rFonts w:asciiTheme="minorHAnsi" w:hAnsiTheme="minorHAnsi" w:cs="Times New Roman"/>
          <w:color w:val="auto"/>
          <w:sz w:val="20"/>
          <w:szCs w:val="20"/>
          <w:lang w:val="sr-Cyrl-BA"/>
        </w:rPr>
        <w:t xml:space="preserve">Procredit bank д.д. Сарајево </w:t>
      </w:r>
      <w:r w:rsidR="00035CC3">
        <w:rPr>
          <w:rFonts w:asciiTheme="minorHAnsi" w:hAnsiTheme="minorHAnsi" w:cs="Times New Roman"/>
          <w:color w:val="auto"/>
          <w:sz w:val="20"/>
          <w:szCs w:val="20"/>
          <w:lang w:val="sr-Cyrl-BA"/>
        </w:rPr>
        <w:t xml:space="preserve">и она износи </w:t>
      </w:r>
      <w:r w:rsidR="007E2AAA" w:rsidRPr="00002758">
        <w:rPr>
          <w:rFonts w:ascii="Calibri" w:hAnsi="Calibri"/>
          <w:color w:val="auto"/>
          <w:sz w:val="18"/>
          <w:szCs w:val="18"/>
        </w:rPr>
        <w:t>7.487.359,66</w:t>
      </w:r>
      <w:r w:rsidR="007E2AAA">
        <w:rPr>
          <w:rFonts w:ascii="Calibri" w:hAnsi="Calibri"/>
          <w:color w:val="auto"/>
          <w:sz w:val="18"/>
          <w:szCs w:val="18"/>
          <w:lang w:val="sr-Cyrl-RS"/>
        </w:rPr>
        <w:t xml:space="preserve"> </w:t>
      </w:r>
      <w:r w:rsidR="00035CC3">
        <w:rPr>
          <w:rFonts w:asciiTheme="minorHAnsi" w:hAnsiTheme="minorHAnsi" w:cs="Times New Roman"/>
          <w:color w:val="auto"/>
          <w:sz w:val="20"/>
          <w:szCs w:val="20"/>
          <w:lang w:val="sr-Cyrl-BA"/>
        </w:rPr>
        <w:t>КМ.</w:t>
      </w:r>
    </w:p>
    <w:p w:rsidR="006B0FF2" w:rsidRDefault="006B0FF2" w:rsidP="007E2AAA">
      <w:pPr>
        <w:pStyle w:val="Heading2"/>
        <w:numPr>
          <w:ilvl w:val="0"/>
          <w:numId w:val="0"/>
        </w:numPr>
        <w:rPr>
          <w:rFonts w:asciiTheme="minorHAnsi" w:hAnsiTheme="minorHAnsi"/>
          <w:b/>
          <w:color w:val="00B050"/>
          <w:szCs w:val="20"/>
          <w:lang w:val="sr-Cyrl-RS"/>
        </w:rPr>
      </w:pPr>
      <w:bookmarkStart w:id="8" w:name="_Toc135292172"/>
    </w:p>
    <w:p w:rsidR="001538EF" w:rsidRPr="007E2AAA" w:rsidRDefault="00E84021" w:rsidP="006F1C03">
      <w:pPr>
        <w:pStyle w:val="Heading2"/>
        <w:numPr>
          <w:ilvl w:val="0"/>
          <w:numId w:val="0"/>
        </w:numPr>
        <w:jc w:val="left"/>
        <w:rPr>
          <w:rFonts w:asciiTheme="minorHAnsi" w:hAnsiTheme="minorHAnsi"/>
          <w:color w:val="000000" w:themeColor="text1"/>
          <w:szCs w:val="20"/>
        </w:rPr>
      </w:pPr>
      <w:r w:rsidRPr="007E2AAA">
        <w:rPr>
          <w:rFonts w:asciiTheme="minorHAnsi" w:hAnsiTheme="minorHAnsi"/>
          <w:color w:val="000000" w:themeColor="text1"/>
          <w:szCs w:val="20"/>
          <w:lang w:val="sr-Cyrl-RS"/>
        </w:rPr>
        <w:t>2.</w:t>
      </w:r>
      <w:r w:rsidR="00A944C8" w:rsidRPr="007E2AAA">
        <w:rPr>
          <w:rFonts w:asciiTheme="minorHAnsi" w:hAnsiTheme="minorHAnsi"/>
          <w:color w:val="000000" w:themeColor="text1"/>
          <w:szCs w:val="20"/>
          <w:lang w:val="sr-Cyrl-RS"/>
        </w:rPr>
        <w:t>3.</w:t>
      </w:r>
      <w:r w:rsidRPr="007E2AAA">
        <w:rPr>
          <w:rFonts w:asciiTheme="minorHAnsi" w:hAnsiTheme="minorHAnsi"/>
          <w:color w:val="000000" w:themeColor="text1"/>
          <w:szCs w:val="20"/>
          <w:lang w:val="sr-Cyrl-RS"/>
        </w:rPr>
        <w:t xml:space="preserve">  </w:t>
      </w:r>
      <w:r w:rsidR="001538EF" w:rsidRPr="007E2AAA">
        <w:rPr>
          <w:rFonts w:asciiTheme="minorHAnsi" w:hAnsiTheme="minorHAnsi"/>
          <w:color w:val="000000" w:themeColor="text1"/>
          <w:szCs w:val="20"/>
        </w:rPr>
        <w:t xml:space="preserve">АНАЛИЗА  ГАРАНЦИЈА </w:t>
      </w:r>
      <w:bookmarkEnd w:id="8"/>
      <w:r w:rsidR="00EE734C" w:rsidRPr="007E2AAA">
        <w:rPr>
          <w:rFonts w:asciiTheme="minorHAnsi" w:hAnsiTheme="minorHAnsi"/>
          <w:color w:val="000000" w:themeColor="text1"/>
          <w:szCs w:val="20"/>
          <w:lang w:val="sr-Cyrl-RS"/>
        </w:rPr>
        <w:t>НА ЕМИТОВАНЕ ХАРТИЈЕ ОД ВРИЈЕДНОСТИ</w:t>
      </w:r>
    </w:p>
    <w:p w:rsidR="001538EF" w:rsidRPr="005767EF" w:rsidRDefault="001538EF" w:rsidP="001538EF">
      <w:pPr>
        <w:rPr>
          <w:rFonts w:asciiTheme="minorHAnsi" w:hAnsiTheme="minorHAnsi"/>
          <w:sz w:val="20"/>
          <w:szCs w:val="20"/>
        </w:rPr>
      </w:pPr>
    </w:p>
    <w:p w:rsidR="001538EF" w:rsidRDefault="00EE734C" w:rsidP="001538EF">
      <w:pPr>
        <w:rPr>
          <w:rFonts w:asciiTheme="minorHAnsi" w:hAnsiTheme="minorHAnsi"/>
          <w:sz w:val="20"/>
          <w:szCs w:val="20"/>
          <w:lang w:val="sr-Cyrl-RS"/>
        </w:rPr>
      </w:pPr>
      <w:r>
        <w:rPr>
          <w:rFonts w:asciiTheme="minorHAnsi" w:hAnsiTheme="minorHAnsi"/>
          <w:sz w:val="20"/>
          <w:szCs w:val="20"/>
          <w:lang w:val="sr-Cyrl-BA"/>
        </w:rPr>
        <w:t>Чланом  6</w:t>
      </w:r>
      <w:r w:rsidR="001538EF" w:rsidRPr="005767EF">
        <w:rPr>
          <w:rFonts w:asciiTheme="minorHAnsi" w:hAnsiTheme="minorHAnsi"/>
          <w:sz w:val="20"/>
          <w:szCs w:val="20"/>
          <w:lang w:val="sr-Cyrl-BA"/>
        </w:rPr>
        <w:t xml:space="preserve"> став 2 </w:t>
      </w:r>
      <w:r w:rsidR="001538EF" w:rsidRPr="005767EF">
        <w:rPr>
          <w:rFonts w:asciiTheme="minorHAnsi" w:hAnsiTheme="minorHAnsi"/>
          <w:sz w:val="20"/>
          <w:szCs w:val="20"/>
        </w:rPr>
        <w:t>Закон</w:t>
      </w:r>
      <w:r>
        <w:rPr>
          <w:rFonts w:asciiTheme="minorHAnsi" w:hAnsiTheme="minorHAnsi"/>
          <w:sz w:val="20"/>
          <w:szCs w:val="20"/>
          <w:lang w:val="sr-Cyrl-RS"/>
        </w:rPr>
        <w:t>а</w:t>
      </w:r>
      <w:r w:rsidR="001538EF" w:rsidRPr="005767EF">
        <w:rPr>
          <w:rFonts w:asciiTheme="minorHAnsi" w:hAnsiTheme="minorHAnsi"/>
          <w:sz w:val="20"/>
          <w:szCs w:val="20"/>
        </w:rPr>
        <w:t xml:space="preserve"> о измјенама и допунама Закона о Гарантном фонду Републике Српске  </w:t>
      </w:r>
      <w:r>
        <w:rPr>
          <w:rFonts w:asciiTheme="minorHAnsi" w:hAnsiTheme="minorHAnsi"/>
          <w:sz w:val="20"/>
          <w:szCs w:val="20"/>
          <w:lang w:val="sr-Cyrl-RS"/>
        </w:rPr>
        <w:t>(</w:t>
      </w:r>
      <w:r w:rsidR="001538EF" w:rsidRPr="005767EF">
        <w:rPr>
          <w:rFonts w:asciiTheme="minorHAnsi" w:hAnsiTheme="minorHAnsi"/>
          <w:sz w:val="20"/>
          <w:szCs w:val="20"/>
        </w:rPr>
        <w:t>„Службени гласник Републике Српске“ број 107/19</w:t>
      </w:r>
      <w:r w:rsidR="001538EF" w:rsidRPr="005767EF">
        <w:rPr>
          <w:rFonts w:asciiTheme="minorHAnsi" w:hAnsiTheme="minorHAnsi"/>
          <w:sz w:val="20"/>
          <w:szCs w:val="20"/>
          <w:lang w:val="sr-Cyrl-BA"/>
        </w:rPr>
        <w:t xml:space="preserve">) </w:t>
      </w:r>
      <w:r>
        <w:rPr>
          <w:rFonts w:asciiTheme="minorHAnsi" w:hAnsiTheme="minorHAnsi"/>
          <w:sz w:val="20"/>
          <w:szCs w:val="20"/>
        </w:rPr>
        <w:t xml:space="preserve"> дефинисанa је</w:t>
      </w:r>
      <w:r w:rsidR="001538EF" w:rsidRPr="005767EF">
        <w:rPr>
          <w:rFonts w:asciiTheme="minorHAnsi" w:hAnsiTheme="minorHAnsi"/>
          <w:sz w:val="20"/>
          <w:szCs w:val="20"/>
        </w:rPr>
        <w:t xml:space="preserve"> могућност из</w:t>
      </w:r>
      <w:r>
        <w:rPr>
          <w:rFonts w:asciiTheme="minorHAnsi" w:hAnsiTheme="minorHAnsi"/>
          <w:sz w:val="20"/>
          <w:szCs w:val="20"/>
        </w:rPr>
        <w:t xml:space="preserve">давања гаранција </w:t>
      </w:r>
      <w:r>
        <w:rPr>
          <w:rFonts w:asciiTheme="minorHAnsi" w:hAnsiTheme="minorHAnsi"/>
          <w:sz w:val="20"/>
          <w:szCs w:val="20"/>
          <w:lang w:val="sr-Cyrl-RS"/>
        </w:rPr>
        <w:t xml:space="preserve">којим се </w:t>
      </w:r>
      <w:r>
        <w:rPr>
          <w:rFonts w:asciiTheme="minorHAnsi" w:hAnsiTheme="minorHAnsi"/>
          <w:sz w:val="20"/>
          <w:szCs w:val="20"/>
        </w:rPr>
        <w:t>гарант</w:t>
      </w:r>
      <w:r>
        <w:rPr>
          <w:rFonts w:asciiTheme="minorHAnsi" w:hAnsiTheme="minorHAnsi"/>
          <w:sz w:val="20"/>
          <w:szCs w:val="20"/>
          <w:lang w:val="sr-Cyrl-RS"/>
        </w:rPr>
        <w:t>ују</w:t>
      </w:r>
      <w:r>
        <w:rPr>
          <w:rFonts w:asciiTheme="minorHAnsi" w:hAnsiTheme="minorHAnsi"/>
          <w:sz w:val="20"/>
          <w:szCs w:val="20"/>
        </w:rPr>
        <w:t xml:space="preserve"> финансијск</w:t>
      </w:r>
      <w:r>
        <w:rPr>
          <w:rFonts w:asciiTheme="minorHAnsi" w:hAnsiTheme="minorHAnsi"/>
          <w:sz w:val="20"/>
          <w:szCs w:val="20"/>
          <w:lang w:val="sr-Cyrl-RS"/>
        </w:rPr>
        <w:t>е</w:t>
      </w:r>
      <w:r w:rsidR="001538EF" w:rsidRPr="005767EF">
        <w:rPr>
          <w:rFonts w:asciiTheme="minorHAnsi" w:hAnsiTheme="minorHAnsi"/>
          <w:sz w:val="20"/>
          <w:szCs w:val="20"/>
        </w:rPr>
        <w:t xml:space="preserve"> обавеза предузетника из дужничких хартија од вриједности које предузетник емитује у складу са прописима којим се уређује тржиште хартија од вриједности у поступку јавне понуде.</w:t>
      </w:r>
    </w:p>
    <w:p w:rsidR="00EE734C" w:rsidRPr="00EE734C" w:rsidRDefault="00EE734C" w:rsidP="001538EF">
      <w:pPr>
        <w:rPr>
          <w:rFonts w:asciiTheme="minorHAnsi" w:hAnsiTheme="minorHAnsi"/>
          <w:sz w:val="20"/>
          <w:szCs w:val="20"/>
          <w:lang w:val="sr-Cyrl-RS"/>
        </w:rPr>
      </w:pPr>
    </w:p>
    <w:p w:rsidR="00553306" w:rsidRDefault="00553306" w:rsidP="001538EF">
      <w:pPr>
        <w:rPr>
          <w:rFonts w:asciiTheme="minorHAnsi" w:eastAsiaTheme="minorHAnsi" w:hAnsiTheme="minorHAnsi"/>
          <w:sz w:val="20"/>
          <w:szCs w:val="20"/>
          <w:lang w:val="sr-Cyrl-RS" w:eastAsia="en-US"/>
        </w:rPr>
      </w:pPr>
      <w:r>
        <w:rPr>
          <w:rFonts w:asciiTheme="minorHAnsi" w:eastAsiaTheme="minorHAnsi" w:hAnsiTheme="minorHAnsi"/>
          <w:sz w:val="20"/>
          <w:szCs w:val="20"/>
          <w:lang w:val="sr-Cyrl-RS" w:eastAsia="en-US"/>
        </w:rPr>
        <w:t xml:space="preserve">Специфичност ове врсте гарантног посла је у томе што </w:t>
      </w:r>
      <w:r w:rsidR="009051D2">
        <w:rPr>
          <w:rFonts w:asciiTheme="minorHAnsi" w:eastAsiaTheme="minorHAnsi" w:hAnsiTheme="minorHAnsi"/>
          <w:sz w:val="20"/>
          <w:szCs w:val="20"/>
          <w:lang w:val="sr-Cyrl-RS" w:eastAsia="en-US"/>
        </w:rPr>
        <w:t xml:space="preserve">се </w:t>
      </w:r>
      <w:r w:rsidR="00083935">
        <w:rPr>
          <w:rFonts w:asciiTheme="minorHAnsi" w:eastAsiaTheme="minorHAnsi" w:hAnsiTheme="minorHAnsi"/>
          <w:sz w:val="20"/>
          <w:szCs w:val="20"/>
          <w:lang w:val="sr-Cyrl-RS" w:eastAsia="en-US"/>
        </w:rPr>
        <w:t xml:space="preserve">као уговорна страна јавља </w:t>
      </w:r>
      <w:r>
        <w:rPr>
          <w:rFonts w:asciiTheme="minorHAnsi" w:eastAsiaTheme="minorHAnsi" w:hAnsiTheme="minorHAnsi"/>
          <w:sz w:val="20"/>
          <w:szCs w:val="20"/>
          <w:lang w:val="sr-Cyrl-RS" w:eastAsia="en-US"/>
        </w:rPr>
        <w:t xml:space="preserve">Централни регистар хартија од вриједности а.д. Бања Лука, који наступа као платни агент у име и за рачун власника емитованих хартија од вриједности, притом обављајући послове који се тичу обрачуна ануитета и камата, провођења поступка наплате, чувања мјеница итд.  </w:t>
      </w:r>
    </w:p>
    <w:p w:rsidR="00553306" w:rsidRDefault="00553306" w:rsidP="001538EF">
      <w:pPr>
        <w:rPr>
          <w:rFonts w:asciiTheme="minorHAnsi" w:eastAsiaTheme="minorHAnsi" w:hAnsiTheme="minorHAnsi"/>
          <w:sz w:val="20"/>
          <w:szCs w:val="20"/>
          <w:lang w:val="sr-Cyrl-RS" w:eastAsia="en-US"/>
        </w:rPr>
      </w:pPr>
    </w:p>
    <w:p w:rsidR="006B0FF2" w:rsidRDefault="00EE734C" w:rsidP="00553306">
      <w:pPr>
        <w:rPr>
          <w:rFonts w:asciiTheme="minorHAnsi" w:hAnsiTheme="minorHAnsi"/>
          <w:sz w:val="20"/>
          <w:szCs w:val="20"/>
          <w:lang w:val="sr-Cyrl-BA"/>
        </w:rPr>
      </w:pPr>
      <w:r>
        <w:rPr>
          <w:rFonts w:asciiTheme="minorHAnsi" w:eastAsiaTheme="minorHAnsi" w:hAnsiTheme="minorHAnsi"/>
          <w:sz w:val="20"/>
          <w:szCs w:val="20"/>
          <w:lang w:val="sr-Latn-RS" w:eastAsia="en-US"/>
        </w:rPr>
        <w:t>Увођењем ов</w:t>
      </w:r>
      <w:r>
        <w:rPr>
          <w:rFonts w:asciiTheme="minorHAnsi" w:eastAsiaTheme="minorHAnsi" w:hAnsiTheme="minorHAnsi"/>
          <w:sz w:val="20"/>
          <w:szCs w:val="20"/>
          <w:lang w:val="sr-Cyrl-RS" w:eastAsia="en-US"/>
        </w:rPr>
        <w:t>е</w:t>
      </w:r>
      <w:r>
        <w:rPr>
          <w:rFonts w:asciiTheme="minorHAnsi" w:eastAsiaTheme="minorHAnsi" w:hAnsiTheme="minorHAnsi"/>
          <w:sz w:val="20"/>
          <w:szCs w:val="20"/>
          <w:lang w:val="sr-Latn-RS" w:eastAsia="en-US"/>
        </w:rPr>
        <w:t xml:space="preserve"> законск</w:t>
      </w:r>
      <w:r>
        <w:rPr>
          <w:rFonts w:asciiTheme="minorHAnsi" w:eastAsiaTheme="minorHAnsi" w:hAnsiTheme="minorHAnsi"/>
          <w:sz w:val="20"/>
          <w:szCs w:val="20"/>
          <w:lang w:val="sr-Cyrl-RS" w:eastAsia="en-US"/>
        </w:rPr>
        <w:t>е</w:t>
      </w:r>
      <w:r w:rsidR="001538EF" w:rsidRPr="005767EF">
        <w:rPr>
          <w:rFonts w:asciiTheme="minorHAnsi" w:eastAsiaTheme="minorHAnsi" w:hAnsiTheme="minorHAnsi"/>
          <w:sz w:val="20"/>
          <w:szCs w:val="20"/>
          <w:lang w:val="sr-Latn-RS" w:eastAsia="en-US"/>
        </w:rPr>
        <w:t xml:space="preserve"> могућности</w:t>
      </w:r>
      <w:r>
        <w:rPr>
          <w:rFonts w:asciiTheme="minorHAnsi" w:eastAsiaTheme="minorHAnsi" w:hAnsiTheme="minorHAnsi"/>
          <w:sz w:val="20"/>
          <w:szCs w:val="20"/>
          <w:lang w:val="sr-Cyrl-RS" w:eastAsia="en-US"/>
        </w:rPr>
        <w:t xml:space="preserve"> крајем 20</w:t>
      </w:r>
      <w:r w:rsidR="00553306">
        <w:rPr>
          <w:rFonts w:asciiTheme="minorHAnsi" w:eastAsiaTheme="minorHAnsi" w:hAnsiTheme="minorHAnsi"/>
          <w:sz w:val="20"/>
          <w:szCs w:val="20"/>
          <w:lang w:val="sr-Cyrl-RS" w:eastAsia="en-US"/>
        </w:rPr>
        <w:t>19</w:t>
      </w:r>
      <w:r>
        <w:rPr>
          <w:rFonts w:asciiTheme="minorHAnsi" w:eastAsiaTheme="minorHAnsi" w:hAnsiTheme="minorHAnsi"/>
          <w:sz w:val="20"/>
          <w:szCs w:val="20"/>
          <w:lang w:val="sr-Cyrl-RS" w:eastAsia="en-US"/>
        </w:rPr>
        <w:t>. године,</w:t>
      </w:r>
      <w:r w:rsidR="001538EF" w:rsidRPr="005767EF">
        <w:rPr>
          <w:rFonts w:asciiTheme="minorHAnsi" w:eastAsiaTheme="minorHAnsi" w:hAnsiTheme="minorHAnsi"/>
          <w:sz w:val="20"/>
          <w:szCs w:val="20"/>
          <w:lang w:val="sr-Latn-RS" w:eastAsia="en-US"/>
        </w:rPr>
        <w:t xml:space="preserve"> </w:t>
      </w:r>
      <w:r>
        <w:rPr>
          <w:rFonts w:asciiTheme="minorHAnsi" w:eastAsiaTheme="minorHAnsi" w:hAnsiTheme="minorHAnsi"/>
          <w:sz w:val="20"/>
          <w:szCs w:val="20"/>
          <w:lang w:val="sr-Cyrl-RS" w:eastAsia="en-US"/>
        </w:rPr>
        <w:t>Гарантни ф</w:t>
      </w:r>
      <w:r w:rsidR="001538EF" w:rsidRPr="005767EF">
        <w:rPr>
          <w:rFonts w:asciiTheme="minorHAnsi" w:eastAsiaTheme="minorHAnsi" w:hAnsiTheme="minorHAnsi"/>
          <w:sz w:val="20"/>
          <w:szCs w:val="20"/>
          <w:lang w:val="sr-Latn-RS" w:eastAsia="en-US"/>
        </w:rPr>
        <w:t>онд је</w:t>
      </w:r>
      <w:r w:rsidR="00553306">
        <w:rPr>
          <w:rFonts w:asciiTheme="minorHAnsi" w:eastAsiaTheme="minorHAnsi" w:hAnsiTheme="minorHAnsi"/>
          <w:sz w:val="20"/>
          <w:szCs w:val="20"/>
          <w:lang w:val="sr-Cyrl-BA" w:eastAsia="en-US"/>
        </w:rPr>
        <w:t xml:space="preserve"> </w:t>
      </w:r>
      <w:r w:rsidR="00E85509">
        <w:rPr>
          <w:rFonts w:asciiTheme="minorHAnsi" w:eastAsiaTheme="minorHAnsi" w:hAnsiTheme="minorHAnsi"/>
          <w:sz w:val="20"/>
          <w:szCs w:val="20"/>
          <w:lang w:val="sr-Cyrl-BA" w:eastAsia="en-US"/>
        </w:rPr>
        <w:t>почетком</w:t>
      </w:r>
      <w:r>
        <w:rPr>
          <w:rFonts w:asciiTheme="minorHAnsi" w:eastAsiaTheme="minorHAnsi" w:hAnsiTheme="minorHAnsi"/>
          <w:sz w:val="20"/>
          <w:szCs w:val="20"/>
          <w:lang w:val="sr-Cyrl-BA" w:eastAsia="en-US"/>
        </w:rPr>
        <w:t xml:space="preserve"> 2021. године</w:t>
      </w:r>
      <w:r w:rsidR="001538EF" w:rsidRPr="005767EF">
        <w:rPr>
          <w:rFonts w:asciiTheme="minorHAnsi" w:eastAsiaTheme="minorHAnsi" w:hAnsiTheme="minorHAnsi"/>
          <w:sz w:val="20"/>
          <w:szCs w:val="20"/>
          <w:lang w:val="sr-Cyrl-BA" w:eastAsia="en-US"/>
        </w:rPr>
        <w:t xml:space="preserve"> </w:t>
      </w:r>
      <w:r w:rsidR="001538EF" w:rsidRPr="005767EF">
        <w:rPr>
          <w:rFonts w:asciiTheme="minorHAnsi" w:eastAsiaTheme="minorHAnsi" w:hAnsiTheme="minorHAnsi"/>
          <w:sz w:val="20"/>
          <w:szCs w:val="20"/>
          <w:lang w:val="sr-Latn-RS" w:eastAsia="en-US"/>
        </w:rPr>
        <w:t xml:space="preserve"> издао </w:t>
      </w:r>
      <w:r>
        <w:rPr>
          <w:rFonts w:asciiTheme="minorHAnsi" w:eastAsiaTheme="minorHAnsi" w:hAnsiTheme="minorHAnsi"/>
          <w:sz w:val="20"/>
          <w:szCs w:val="20"/>
          <w:lang w:val="sr-Cyrl-RS" w:eastAsia="en-US"/>
        </w:rPr>
        <w:t xml:space="preserve">прву </w:t>
      </w:r>
      <w:r>
        <w:rPr>
          <w:rFonts w:asciiTheme="minorHAnsi" w:eastAsiaTheme="minorHAnsi" w:hAnsiTheme="minorHAnsi"/>
          <w:sz w:val="20"/>
          <w:szCs w:val="20"/>
          <w:lang w:val="sr-Latn-RS" w:eastAsia="en-US"/>
        </w:rPr>
        <w:t>гаранциј</w:t>
      </w:r>
      <w:r>
        <w:rPr>
          <w:rFonts w:asciiTheme="minorHAnsi" w:eastAsiaTheme="minorHAnsi" w:hAnsiTheme="minorHAnsi"/>
          <w:sz w:val="20"/>
          <w:szCs w:val="20"/>
          <w:lang w:val="sr-Cyrl-RS" w:eastAsia="en-US"/>
        </w:rPr>
        <w:t>у</w:t>
      </w:r>
      <w:r w:rsidR="001538EF" w:rsidRPr="005767EF">
        <w:rPr>
          <w:rFonts w:asciiTheme="minorHAnsi" w:eastAsiaTheme="minorHAnsi" w:hAnsiTheme="minorHAnsi"/>
          <w:sz w:val="20"/>
          <w:szCs w:val="20"/>
          <w:lang w:val="sr-Latn-RS" w:eastAsia="en-US"/>
        </w:rPr>
        <w:t xml:space="preserve"> на емисију обвезница </w:t>
      </w:r>
      <w:r>
        <w:rPr>
          <w:rFonts w:asciiTheme="minorHAnsi" w:eastAsiaTheme="minorHAnsi" w:hAnsiTheme="minorHAnsi"/>
          <w:sz w:val="20"/>
          <w:szCs w:val="20"/>
          <w:lang w:val="sr-Cyrl-RS" w:eastAsia="en-US"/>
        </w:rPr>
        <w:t xml:space="preserve">јавног предузећа </w:t>
      </w:r>
      <w:r w:rsidR="001538EF" w:rsidRPr="005767EF">
        <w:rPr>
          <w:rFonts w:asciiTheme="minorHAnsi" w:eastAsiaTheme="minorHAnsi" w:hAnsiTheme="minorHAnsi"/>
          <w:sz w:val="20"/>
          <w:szCs w:val="20"/>
          <w:lang w:val="sr-Latn-RS" w:eastAsia="en-US"/>
        </w:rPr>
        <w:t xml:space="preserve">Водовод </w:t>
      </w:r>
      <w:r>
        <w:rPr>
          <w:rFonts w:asciiTheme="minorHAnsi" w:eastAsiaTheme="minorHAnsi" w:hAnsiTheme="minorHAnsi"/>
          <w:sz w:val="20"/>
          <w:szCs w:val="20"/>
          <w:lang w:val="sr-Cyrl-RS" w:eastAsia="en-US"/>
        </w:rPr>
        <w:t xml:space="preserve">а.д. </w:t>
      </w:r>
      <w:r w:rsidR="001538EF" w:rsidRPr="005767EF">
        <w:rPr>
          <w:rFonts w:asciiTheme="minorHAnsi" w:eastAsiaTheme="minorHAnsi" w:hAnsiTheme="minorHAnsi"/>
          <w:sz w:val="20"/>
          <w:szCs w:val="20"/>
          <w:lang w:val="sr-Latn-RS" w:eastAsia="en-US"/>
        </w:rPr>
        <w:t>Козар</w:t>
      </w:r>
      <w:r>
        <w:rPr>
          <w:rFonts w:asciiTheme="minorHAnsi" w:eastAsiaTheme="minorHAnsi" w:hAnsiTheme="minorHAnsi"/>
          <w:sz w:val="20"/>
          <w:szCs w:val="20"/>
          <w:lang w:val="sr-Latn-RS" w:eastAsia="en-US"/>
        </w:rPr>
        <w:t xml:space="preserve">ска Дубица </w:t>
      </w:r>
      <w:r w:rsidR="001538EF" w:rsidRPr="005767EF">
        <w:rPr>
          <w:rFonts w:asciiTheme="minorHAnsi" w:eastAsiaTheme="minorHAnsi" w:hAnsiTheme="minorHAnsi"/>
          <w:sz w:val="20"/>
          <w:szCs w:val="20"/>
          <w:lang w:val="sr-Latn-RS" w:eastAsia="en-US"/>
        </w:rPr>
        <w:t xml:space="preserve">у износу од 850.000,00 </w:t>
      </w:r>
      <w:r w:rsidR="001538EF" w:rsidRPr="005767EF">
        <w:rPr>
          <w:rFonts w:asciiTheme="minorHAnsi" w:eastAsiaTheme="minorHAnsi" w:hAnsiTheme="minorHAnsi"/>
          <w:sz w:val="20"/>
          <w:szCs w:val="20"/>
          <w:lang w:val="sr-Cyrl-BA" w:eastAsia="en-US"/>
        </w:rPr>
        <w:t>КМ</w:t>
      </w:r>
      <w:r w:rsidR="006B0FF2">
        <w:rPr>
          <w:rFonts w:asciiTheme="minorHAnsi" w:eastAsiaTheme="minorHAnsi" w:hAnsiTheme="minorHAnsi"/>
          <w:sz w:val="20"/>
          <w:szCs w:val="20"/>
          <w:lang w:val="sr-Cyrl-BA" w:eastAsia="en-US"/>
        </w:rPr>
        <w:t xml:space="preserve">, чиме је подржана емисија хартија од вриједности у износу од 1.750.000,00 КМ </w:t>
      </w:r>
      <w:r w:rsidR="001538EF" w:rsidRPr="005767EF">
        <w:rPr>
          <w:rFonts w:asciiTheme="minorHAnsi" w:eastAsiaTheme="minorHAnsi" w:hAnsiTheme="minorHAnsi"/>
          <w:sz w:val="20"/>
          <w:szCs w:val="20"/>
          <w:lang w:val="sr-Cyrl-BA" w:eastAsia="en-US"/>
        </w:rPr>
        <w:t xml:space="preserve">. </w:t>
      </w:r>
      <w:r w:rsidR="00553306">
        <w:rPr>
          <w:rFonts w:asciiTheme="minorHAnsi" w:hAnsiTheme="minorHAnsi"/>
          <w:sz w:val="20"/>
          <w:szCs w:val="20"/>
          <w:lang w:val="sr-Cyrl-BA"/>
        </w:rPr>
        <w:t>Т</w:t>
      </w:r>
      <w:r w:rsidR="00553306" w:rsidRPr="005767EF">
        <w:rPr>
          <w:rFonts w:asciiTheme="minorHAnsi" w:hAnsiTheme="minorHAnsi"/>
          <w:sz w:val="20"/>
          <w:szCs w:val="20"/>
          <w:lang w:val="sr-Cyrl-BA"/>
        </w:rPr>
        <w:t>оком 2023. године</w:t>
      </w:r>
      <w:r w:rsidR="00553306">
        <w:rPr>
          <w:rFonts w:asciiTheme="minorHAnsi" w:hAnsiTheme="minorHAnsi"/>
          <w:sz w:val="20"/>
          <w:szCs w:val="20"/>
          <w:lang w:val="sr-Cyrl-BA"/>
        </w:rPr>
        <w:t xml:space="preserve">, </w:t>
      </w:r>
      <w:r w:rsidR="00553306" w:rsidRPr="005767EF">
        <w:rPr>
          <w:rFonts w:asciiTheme="minorHAnsi" w:hAnsiTheme="minorHAnsi"/>
          <w:sz w:val="20"/>
          <w:szCs w:val="20"/>
          <w:lang w:val="sr-Cyrl-BA"/>
        </w:rPr>
        <w:t xml:space="preserve"> </w:t>
      </w:r>
      <w:r w:rsidR="00E85509">
        <w:rPr>
          <w:rFonts w:asciiTheme="minorHAnsi" w:hAnsiTheme="minorHAnsi"/>
          <w:sz w:val="20"/>
          <w:szCs w:val="20"/>
          <w:lang w:val="sr-Cyrl-BA"/>
        </w:rPr>
        <w:t xml:space="preserve">Влада Републике Српске у функцији </w:t>
      </w:r>
      <w:r w:rsidR="00E85509">
        <w:rPr>
          <w:rFonts w:asciiTheme="minorHAnsi" w:hAnsiTheme="minorHAnsi"/>
          <w:sz w:val="20"/>
          <w:szCs w:val="20"/>
        </w:rPr>
        <w:t>Скупштин</w:t>
      </w:r>
      <w:r w:rsidR="00E85509">
        <w:rPr>
          <w:rFonts w:asciiTheme="minorHAnsi" w:hAnsiTheme="minorHAnsi"/>
          <w:sz w:val="20"/>
          <w:szCs w:val="20"/>
          <w:lang w:val="sr-Cyrl-RS"/>
        </w:rPr>
        <w:t>е</w:t>
      </w:r>
      <w:r w:rsidR="00553306" w:rsidRPr="005767EF">
        <w:rPr>
          <w:rFonts w:asciiTheme="minorHAnsi" w:hAnsiTheme="minorHAnsi"/>
          <w:sz w:val="20"/>
          <w:szCs w:val="20"/>
        </w:rPr>
        <w:t xml:space="preserve"> акционара Гарантног фонда Републике Српске је одобрила </w:t>
      </w:r>
      <w:r w:rsidR="00553306">
        <w:rPr>
          <w:rFonts w:asciiTheme="minorHAnsi" w:hAnsiTheme="minorHAnsi"/>
          <w:sz w:val="20"/>
          <w:szCs w:val="20"/>
          <w:lang w:val="sr-Cyrl-RS"/>
        </w:rPr>
        <w:t xml:space="preserve">издавање </w:t>
      </w:r>
      <w:r w:rsidR="006B0FF2">
        <w:rPr>
          <w:rFonts w:asciiTheme="minorHAnsi" w:hAnsiTheme="minorHAnsi"/>
          <w:sz w:val="20"/>
          <w:szCs w:val="20"/>
          <w:lang w:val="sr-Cyrl-RS"/>
        </w:rPr>
        <w:t xml:space="preserve">још </w:t>
      </w:r>
      <w:r w:rsidR="00553306">
        <w:rPr>
          <w:rFonts w:asciiTheme="minorHAnsi" w:hAnsiTheme="minorHAnsi"/>
          <w:sz w:val="20"/>
          <w:szCs w:val="20"/>
          <w:lang w:val="sr-Cyrl-RS"/>
        </w:rPr>
        <w:t xml:space="preserve">двије гаранције на емитоване обвезнице, и то: </w:t>
      </w:r>
      <w:r w:rsidR="00553306">
        <w:rPr>
          <w:rFonts w:asciiTheme="minorHAnsi" w:hAnsiTheme="minorHAnsi"/>
          <w:sz w:val="20"/>
          <w:szCs w:val="20"/>
          <w:lang w:val="sr-Cyrl-BA"/>
        </w:rPr>
        <w:t xml:space="preserve">гаранцију у износу од </w:t>
      </w:r>
      <w:r w:rsidR="00083935">
        <w:rPr>
          <w:rFonts w:asciiTheme="minorHAnsi" w:hAnsiTheme="minorHAnsi"/>
          <w:sz w:val="20"/>
          <w:szCs w:val="20"/>
          <w:lang w:val="sr-Cyrl-BA"/>
        </w:rPr>
        <w:t xml:space="preserve">1.200.000,00 КМ </w:t>
      </w:r>
      <w:r w:rsidR="00553306" w:rsidRPr="005767EF">
        <w:rPr>
          <w:rFonts w:asciiTheme="minorHAnsi" w:hAnsiTheme="minorHAnsi"/>
          <w:sz w:val="20"/>
          <w:szCs w:val="20"/>
          <w:lang w:val="sr-Cyrl-BA"/>
        </w:rPr>
        <w:t>по захтјеву привредног друштва Интерлигнум д.о.о. Те</w:t>
      </w:r>
      <w:r w:rsidR="00083935">
        <w:rPr>
          <w:rFonts w:asciiTheme="minorHAnsi" w:hAnsiTheme="minorHAnsi"/>
          <w:sz w:val="20"/>
          <w:szCs w:val="20"/>
          <w:lang w:val="sr-Cyrl-BA"/>
        </w:rPr>
        <w:t>слић</w:t>
      </w:r>
      <w:r w:rsidR="00553306" w:rsidRPr="005767EF">
        <w:rPr>
          <w:rFonts w:asciiTheme="minorHAnsi" w:hAnsiTheme="minorHAnsi"/>
          <w:sz w:val="20"/>
          <w:szCs w:val="20"/>
          <w:lang w:val="sr-Cyrl-BA"/>
        </w:rPr>
        <w:t>, чиме је подржано 60% вриједности емисије</w:t>
      </w:r>
      <w:r w:rsidR="00083935">
        <w:rPr>
          <w:rFonts w:asciiTheme="minorHAnsi" w:hAnsiTheme="minorHAnsi"/>
          <w:sz w:val="20"/>
          <w:szCs w:val="20"/>
          <w:lang w:val="sr-Cyrl-BA"/>
        </w:rPr>
        <w:t xml:space="preserve"> обвезница у износу од</w:t>
      </w:r>
      <w:r w:rsidR="00553306" w:rsidRPr="005767EF">
        <w:rPr>
          <w:rFonts w:asciiTheme="minorHAnsi" w:hAnsiTheme="minorHAnsi"/>
          <w:sz w:val="20"/>
          <w:szCs w:val="20"/>
          <w:lang w:val="sr-Cyrl-BA"/>
        </w:rPr>
        <w:t xml:space="preserve"> </w:t>
      </w:r>
      <w:r w:rsidR="00083935">
        <w:rPr>
          <w:rFonts w:asciiTheme="minorHAnsi" w:hAnsiTheme="minorHAnsi"/>
          <w:sz w:val="20"/>
          <w:szCs w:val="20"/>
          <w:lang w:val="sr-Cyrl-BA"/>
        </w:rPr>
        <w:t>2.000.000,00 КМ и гаранцију у износу од 660.000,00 КМ</w:t>
      </w:r>
      <w:r w:rsidR="00553306" w:rsidRPr="005767EF">
        <w:rPr>
          <w:rFonts w:asciiTheme="minorHAnsi" w:hAnsiTheme="minorHAnsi"/>
          <w:sz w:val="20"/>
          <w:szCs w:val="20"/>
          <w:lang w:val="sr-Cyrl-BA"/>
        </w:rPr>
        <w:t xml:space="preserve"> п</w:t>
      </w:r>
      <w:r w:rsidR="00705FDC">
        <w:rPr>
          <w:rFonts w:asciiTheme="minorHAnsi" w:hAnsiTheme="minorHAnsi"/>
          <w:sz w:val="20"/>
          <w:szCs w:val="20"/>
          <w:lang w:val="sr-Cyrl-BA"/>
        </w:rPr>
        <w:t>о захтјеву привредног друштва Д</w:t>
      </w:r>
      <w:r w:rsidR="00705FDC">
        <w:rPr>
          <w:rFonts w:asciiTheme="minorHAnsi" w:hAnsiTheme="minorHAnsi"/>
          <w:sz w:val="20"/>
          <w:szCs w:val="20"/>
          <w:lang w:val="sr-Cyrl-RS"/>
        </w:rPr>
        <w:t>рвна индустрија</w:t>
      </w:r>
      <w:r w:rsidR="00553306" w:rsidRPr="005767EF">
        <w:rPr>
          <w:rFonts w:asciiTheme="minorHAnsi" w:hAnsiTheme="minorHAnsi"/>
          <w:sz w:val="20"/>
          <w:szCs w:val="20"/>
          <w:lang w:val="sr-Cyrl-BA"/>
        </w:rPr>
        <w:t xml:space="preserve"> Шипово д.о.о. </w:t>
      </w:r>
      <w:r w:rsidR="00083935">
        <w:rPr>
          <w:rFonts w:asciiTheme="minorHAnsi" w:hAnsiTheme="minorHAnsi"/>
          <w:sz w:val="20"/>
          <w:szCs w:val="20"/>
          <w:lang w:val="sr-Cyrl-BA"/>
        </w:rPr>
        <w:t xml:space="preserve">Шипово, чиме је подржано 30% </w:t>
      </w:r>
      <w:r w:rsidR="00083935" w:rsidRPr="00083935">
        <w:rPr>
          <w:rFonts w:asciiTheme="minorHAnsi" w:hAnsiTheme="minorHAnsi"/>
          <w:sz w:val="20"/>
          <w:szCs w:val="20"/>
          <w:lang w:val="sr-Cyrl-BA"/>
        </w:rPr>
        <w:t>вриједности е</w:t>
      </w:r>
      <w:r w:rsidR="00083935">
        <w:rPr>
          <w:rFonts w:asciiTheme="minorHAnsi" w:hAnsiTheme="minorHAnsi"/>
          <w:sz w:val="20"/>
          <w:szCs w:val="20"/>
          <w:lang w:val="sr-Cyrl-BA"/>
        </w:rPr>
        <w:t>мисије обвезница у износу од 2.2</w:t>
      </w:r>
      <w:r w:rsidR="00083935" w:rsidRPr="00083935">
        <w:rPr>
          <w:rFonts w:asciiTheme="minorHAnsi" w:hAnsiTheme="minorHAnsi"/>
          <w:sz w:val="20"/>
          <w:szCs w:val="20"/>
          <w:lang w:val="sr-Cyrl-BA"/>
        </w:rPr>
        <w:t>00.000,00 КМ</w:t>
      </w:r>
      <w:r w:rsidR="00083935">
        <w:rPr>
          <w:rFonts w:asciiTheme="minorHAnsi" w:hAnsiTheme="minorHAnsi"/>
          <w:sz w:val="20"/>
          <w:szCs w:val="20"/>
          <w:lang w:val="sr-Cyrl-BA"/>
        </w:rPr>
        <w:t>.</w:t>
      </w:r>
      <w:r w:rsidR="00FE5746">
        <w:rPr>
          <w:rFonts w:asciiTheme="minorHAnsi" w:hAnsiTheme="minorHAnsi"/>
          <w:sz w:val="20"/>
          <w:szCs w:val="20"/>
          <w:lang w:val="sr-Cyrl-BA"/>
        </w:rPr>
        <w:t xml:space="preserve"> </w:t>
      </w:r>
    </w:p>
    <w:p w:rsidR="006B0FF2" w:rsidRDefault="006B0FF2" w:rsidP="00553306">
      <w:pPr>
        <w:rPr>
          <w:rFonts w:asciiTheme="minorHAnsi" w:hAnsiTheme="minorHAnsi"/>
          <w:sz w:val="20"/>
          <w:szCs w:val="20"/>
          <w:lang w:val="sr-Cyrl-BA"/>
        </w:rPr>
      </w:pPr>
    </w:p>
    <w:p w:rsidR="006B0FF2" w:rsidRDefault="006B0FF2" w:rsidP="00553306">
      <w:pPr>
        <w:rPr>
          <w:rFonts w:asciiTheme="minorHAnsi" w:hAnsiTheme="minorHAnsi"/>
          <w:sz w:val="20"/>
          <w:szCs w:val="20"/>
          <w:lang w:val="sr-Cyrl-BA"/>
        </w:rPr>
      </w:pPr>
      <w:r>
        <w:rPr>
          <w:rFonts w:asciiTheme="minorHAnsi" w:hAnsiTheme="minorHAnsi"/>
          <w:sz w:val="20"/>
          <w:szCs w:val="20"/>
          <w:lang w:val="sr-Cyrl-BA"/>
        </w:rPr>
        <w:t>Током 2024. године</w:t>
      </w:r>
      <w:r w:rsidR="00FE5746">
        <w:rPr>
          <w:rFonts w:asciiTheme="minorHAnsi" w:hAnsiTheme="minorHAnsi"/>
          <w:sz w:val="20"/>
          <w:szCs w:val="20"/>
          <w:lang w:val="sr-Cyrl-BA"/>
        </w:rPr>
        <w:t xml:space="preserve"> није било изданих гаранција на ем</w:t>
      </w:r>
      <w:r>
        <w:rPr>
          <w:rFonts w:asciiTheme="minorHAnsi" w:hAnsiTheme="minorHAnsi"/>
          <w:sz w:val="20"/>
          <w:szCs w:val="20"/>
          <w:lang w:val="sr-Cyrl-BA"/>
        </w:rPr>
        <w:t>итоване хартије од вриједности</w:t>
      </w:r>
      <w:r w:rsidR="00077D9C">
        <w:rPr>
          <w:rFonts w:asciiTheme="minorHAnsi" w:hAnsiTheme="minorHAnsi"/>
          <w:sz w:val="20"/>
          <w:szCs w:val="20"/>
          <w:lang w:val="sr-Cyrl-BA"/>
        </w:rPr>
        <w:t>.</w:t>
      </w:r>
    </w:p>
    <w:p w:rsidR="007E2AAA" w:rsidRDefault="007E2AAA" w:rsidP="00553306">
      <w:pPr>
        <w:rPr>
          <w:rFonts w:asciiTheme="minorHAnsi" w:hAnsiTheme="minorHAnsi"/>
          <w:sz w:val="20"/>
          <w:szCs w:val="20"/>
          <w:lang w:val="sr-Cyrl-BA"/>
        </w:rPr>
      </w:pPr>
    </w:p>
    <w:p w:rsidR="00083935" w:rsidRPr="00083935" w:rsidRDefault="00083935" w:rsidP="00553306">
      <w:pPr>
        <w:rPr>
          <w:rFonts w:asciiTheme="minorHAnsi" w:hAnsiTheme="minorHAnsi"/>
          <w:sz w:val="20"/>
          <w:szCs w:val="20"/>
          <w:lang w:val="sr-Cyrl-RS"/>
        </w:rPr>
      </w:pPr>
    </w:p>
    <w:p w:rsidR="001538EF" w:rsidRDefault="00FE5746" w:rsidP="00083935">
      <w:pPr>
        <w:jc w:val="center"/>
        <w:rPr>
          <w:rFonts w:asciiTheme="minorHAnsi" w:hAnsiTheme="minorHAnsi"/>
          <w:b/>
          <w:sz w:val="20"/>
          <w:szCs w:val="20"/>
          <w:lang w:val="sr-Cyrl-BA"/>
        </w:rPr>
      </w:pPr>
      <w:r>
        <w:rPr>
          <w:rFonts w:asciiTheme="minorHAnsi" w:hAnsiTheme="minorHAnsi"/>
          <w:b/>
          <w:sz w:val="20"/>
          <w:szCs w:val="20"/>
          <w:lang w:val="sr-Cyrl-BA"/>
        </w:rPr>
        <w:t>Стање</w:t>
      </w:r>
      <w:r w:rsidR="00083935" w:rsidRPr="00083935">
        <w:rPr>
          <w:rFonts w:asciiTheme="minorHAnsi" w:hAnsiTheme="minorHAnsi"/>
          <w:b/>
          <w:sz w:val="20"/>
          <w:szCs w:val="20"/>
          <w:lang w:val="sr-Cyrl-BA"/>
        </w:rPr>
        <w:t xml:space="preserve"> изданих гаранција на емитоване хартије од вриједности </w:t>
      </w:r>
      <w:r>
        <w:rPr>
          <w:rFonts w:asciiTheme="minorHAnsi" w:hAnsiTheme="minorHAnsi"/>
          <w:b/>
          <w:sz w:val="20"/>
          <w:szCs w:val="20"/>
          <w:lang w:val="sr-Cyrl-BA"/>
        </w:rPr>
        <w:t>на дан 31.12.2024. године</w:t>
      </w:r>
    </w:p>
    <w:p w:rsidR="006F1C03" w:rsidRDefault="006F1C03" w:rsidP="00083935">
      <w:pPr>
        <w:jc w:val="center"/>
        <w:rPr>
          <w:rFonts w:asciiTheme="minorHAnsi" w:hAnsiTheme="minorHAnsi"/>
          <w:b/>
          <w:sz w:val="20"/>
          <w:szCs w:val="20"/>
          <w:lang w:val="sr-Cyrl-BA"/>
        </w:rPr>
      </w:pPr>
    </w:p>
    <w:p w:rsidR="00083935" w:rsidRPr="00083935" w:rsidRDefault="00A944C8" w:rsidP="00083935">
      <w:pPr>
        <w:jc w:val="right"/>
        <w:rPr>
          <w:rFonts w:asciiTheme="minorHAnsi" w:hAnsiTheme="minorHAnsi"/>
          <w:b/>
          <w:sz w:val="20"/>
          <w:szCs w:val="20"/>
          <w:lang w:val="sr-Cyrl-BA"/>
        </w:rPr>
      </w:pPr>
      <w:r>
        <w:rPr>
          <w:rFonts w:asciiTheme="minorHAnsi" w:hAnsiTheme="minorHAnsi"/>
          <w:b/>
          <w:sz w:val="20"/>
          <w:szCs w:val="20"/>
          <w:lang w:val="sr-Cyrl-BA"/>
        </w:rPr>
        <w:t>Табела 1</w:t>
      </w:r>
      <w:r w:rsidR="0034546F">
        <w:rPr>
          <w:rFonts w:asciiTheme="minorHAnsi" w:hAnsiTheme="minorHAnsi"/>
          <w:b/>
          <w:sz w:val="20"/>
          <w:szCs w:val="20"/>
          <w:lang w:val="sr-Cyrl-BA"/>
        </w:rPr>
        <w:t>1</w:t>
      </w:r>
      <w:r w:rsidR="00083935">
        <w:rPr>
          <w:rFonts w:asciiTheme="minorHAnsi" w:hAnsiTheme="minorHAnsi"/>
          <w:b/>
          <w:sz w:val="20"/>
          <w:szCs w:val="20"/>
          <w:lang w:val="sr-Cyrl-BA"/>
        </w:rPr>
        <w:t xml:space="preserve">  </w:t>
      </w:r>
    </w:p>
    <w:tbl>
      <w:tblPr>
        <w:tblpPr w:leftFromText="180" w:rightFromText="180" w:vertAnchor="text" w:horzAnchor="margin" w:tblpX="108" w:tblpY="50"/>
        <w:tblOverlap w:val="never"/>
        <w:tblW w:w="8755" w:type="dxa"/>
        <w:tblLayout w:type="fixed"/>
        <w:tblLook w:val="04A0" w:firstRow="1" w:lastRow="0" w:firstColumn="1" w:lastColumn="0" w:noHBand="0" w:noVBand="1"/>
      </w:tblPr>
      <w:tblGrid>
        <w:gridCol w:w="675"/>
        <w:gridCol w:w="3402"/>
        <w:gridCol w:w="1418"/>
        <w:gridCol w:w="1701"/>
        <w:gridCol w:w="1559"/>
      </w:tblGrid>
      <w:tr w:rsidR="00E13F69" w:rsidRPr="005767EF" w:rsidTr="00E13F69">
        <w:trPr>
          <w:trHeight w:val="825"/>
        </w:trPr>
        <w:tc>
          <w:tcPr>
            <w:tcW w:w="6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13F69" w:rsidRPr="00083935" w:rsidRDefault="00E13F69" w:rsidP="00083935">
            <w:pPr>
              <w:ind w:right="-108" w:hanging="142"/>
              <w:jc w:val="center"/>
              <w:rPr>
                <w:rFonts w:asciiTheme="minorHAnsi" w:hAnsiTheme="minorHAnsi"/>
                <w:b/>
                <w:sz w:val="18"/>
                <w:szCs w:val="18"/>
                <w:lang w:val="sr-Cyrl-BA" w:eastAsia="sr-Latn-RS"/>
              </w:rPr>
            </w:pPr>
            <w:r w:rsidRPr="00083935">
              <w:rPr>
                <w:rFonts w:asciiTheme="minorHAnsi" w:hAnsiTheme="minorHAnsi"/>
                <w:b/>
                <w:sz w:val="18"/>
                <w:szCs w:val="18"/>
                <w:lang w:val="sr-Cyrl-BA" w:eastAsia="sr-Latn-RS"/>
              </w:rPr>
              <w:t>Редни број</w:t>
            </w:r>
          </w:p>
        </w:tc>
        <w:tc>
          <w:tcPr>
            <w:tcW w:w="3402"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E13F69" w:rsidRPr="00083935" w:rsidRDefault="00E13F69" w:rsidP="00F75B3A">
            <w:pPr>
              <w:jc w:val="center"/>
              <w:rPr>
                <w:rFonts w:asciiTheme="minorHAnsi" w:hAnsiTheme="minorHAnsi"/>
                <w:b/>
                <w:sz w:val="18"/>
                <w:szCs w:val="18"/>
                <w:lang w:val="sr-Latn-RS" w:eastAsia="sr-Latn-RS"/>
              </w:rPr>
            </w:pPr>
            <w:r w:rsidRPr="00083935">
              <w:rPr>
                <w:rFonts w:asciiTheme="minorHAnsi" w:hAnsiTheme="minorHAnsi"/>
                <w:b/>
                <w:sz w:val="18"/>
                <w:szCs w:val="18"/>
                <w:lang w:val="sr-Latn-RS" w:eastAsia="sr-Latn-RS"/>
              </w:rPr>
              <w:t>Налогодавац</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13F69" w:rsidRPr="00E13F69" w:rsidRDefault="00E13F69" w:rsidP="00F75B3A">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Вриједност емисије</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E13F69" w:rsidRPr="00083935" w:rsidRDefault="00E13F69" w:rsidP="00F75B3A">
            <w:pPr>
              <w:jc w:val="center"/>
              <w:rPr>
                <w:rFonts w:asciiTheme="minorHAnsi" w:hAnsiTheme="minorHAnsi"/>
                <w:b/>
                <w:sz w:val="18"/>
                <w:szCs w:val="18"/>
                <w:lang w:val="sr-Cyrl-RS" w:eastAsia="sr-Latn-RS"/>
              </w:rPr>
            </w:pPr>
            <w:r w:rsidRPr="00083935">
              <w:rPr>
                <w:rFonts w:asciiTheme="minorHAnsi" w:hAnsiTheme="minorHAnsi"/>
                <w:b/>
                <w:sz w:val="18"/>
                <w:szCs w:val="18"/>
                <w:lang w:val="sr-Latn-RS" w:eastAsia="sr-Latn-RS"/>
              </w:rPr>
              <w:t>Износ гаранциј</w:t>
            </w:r>
            <w:r w:rsidRPr="00083935">
              <w:rPr>
                <w:rFonts w:asciiTheme="minorHAnsi" w:hAnsiTheme="minorHAnsi"/>
                <w:b/>
                <w:sz w:val="18"/>
                <w:szCs w:val="18"/>
                <w:lang w:val="sr-Cyrl-RS" w:eastAsia="sr-Latn-RS"/>
              </w:rPr>
              <w:t>е</w:t>
            </w:r>
          </w:p>
        </w:tc>
        <w:tc>
          <w:tcPr>
            <w:tcW w:w="1559" w:type="dxa"/>
            <w:tcBorders>
              <w:top w:val="single" w:sz="4" w:space="0" w:color="auto"/>
              <w:left w:val="nil"/>
              <w:bottom w:val="single" w:sz="4" w:space="0" w:color="auto"/>
              <w:right w:val="single" w:sz="4" w:space="0" w:color="auto"/>
            </w:tcBorders>
            <w:shd w:val="clear" w:color="auto" w:fill="8DB3E2" w:themeFill="text2" w:themeFillTint="66"/>
          </w:tcPr>
          <w:p w:rsidR="00E13F69" w:rsidRDefault="00E13F69" w:rsidP="00F75B3A">
            <w:pPr>
              <w:jc w:val="center"/>
              <w:rPr>
                <w:rFonts w:asciiTheme="minorHAnsi" w:hAnsiTheme="minorHAnsi"/>
                <w:b/>
                <w:sz w:val="18"/>
                <w:szCs w:val="18"/>
                <w:lang w:val="sr-Cyrl-RS" w:eastAsia="sr-Latn-RS"/>
              </w:rPr>
            </w:pPr>
          </w:p>
          <w:p w:rsidR="00E13F69" w:rsidRPr="00E13F69" w:rsidRDefault="00E85509" w:rsidP="00FE5746">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Стање гаранција</w:t>
            </w:r>
            <w:r w:rsidR="00E13F69">
              <w:rPr>
                <w:rFonts w:asciiTheme="minorHAnsi" w:hAnsiTheme="minorHAnsi"/>
                <w:b/>
                <w:sz w:val="18"/>
                <w:szCs w:val="18"/>
                <w:lang w:val="sr-Cyrl-RS" w:eastAsia="sr-Latn-RS"/>
              </w:rPr>
              <w:t xml:space="preserve"> на дан 31.12.202</w:t>
            </w:r>
            <w:r w:rsidR="00FE5746">
              <w:rPr>
                <w:rFonts w:asciiTheme="minorHAnsi" w:hAnsiTheme="minorHAnsi"/>
                <w:b/>
                <w:sz w:val="18"/>
                <w:szCs w:val="18"/>
                <w:lang w:val="sr-Cyrl-RS" w:eastAsia="sr-Latn-RS"/>
              </w:rPr>
              <w:t>4</w:t>
            </w:r>
            <w:r w:rsidR="00E13F69">
              <w:rPr>
                <w:rFonts w:asciiTheme="minorHAnsi" w:hAnsiTheme="minorHAnsi"/>
                <w:b/>
                <w:sz w:val="18"/>
                <w:szCs w:val="18"/>
                <w:lang w:val="sr-Cyrl-RS" w:eastAsia="sr-Latn-RS"/>
              </w:rPr>
              <w:t>. године</w:t>
            </w:r>
          </w:p>
        </w:tc>
      </w:tr>
      <w:tr w:rsidR="00FE5746" w:rsidRPr="005767EF" w:rsidTr="006F1C03">
        <w:trPr>
          <w:trHeight w:val="43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E5746" w:rsidRPr="00083935" w:rsidRDefault="00FE5746" w:rsidP="00F75B3A">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E5746" w:rsidRPr="00083935" w:rsidRDefault="00FE5746" w:rsidP="00F75B3A">
            <w:pPr>
              <w:jc w:val="left"/>
              <w:rPr>
                <w:rFonts w:asciiTheme="minorHAnsi" w:hAnsiTheme="minorHAnsi"/>
                <w:bCs/>
                <w:sz w:val="18"/>
                <w:szCs w:val="18"/>
                <w:lang w:val="sr-Cyrl-RS" w:eastAsia="sr-Latn-RS"/>
              </w:rPr>
            </w:pPr>
            <w:r>
              <w:rPr>
                <w:rFonts w:asciiTheme="minorHAnsi" w:hAnsiTheme="minorHAnsi"/>
                <w:bCs/>
                <w:sz w:val="18"/>
                <w:szCs w:val="18"/>
                <w:lang w:val="sr-Cyrl-RS" w:eastAsia="sr-Latn-RS"/>
              </w:rPr>
              <w:t>Водовод а.д. Козарска Дубица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E5746" w:rsidRPr="00083935" w:rsidRDefault="00FE5746" w:rsidP="00F75B3A">
            <w:pPr>
              <w:ind w:left="-249"/>
              <w:jc w:val="right"/>
              <w:rPr>
                <w:rFonts w:asciiTheme="minorHAnsi" w:hAnsiTheme="minorHAnsi"/>
                <w:sz w:val="18"/>
                <w:szCs w:val="18"/>
                <w:lang w:val="sr-Cyrl-BA" w:eastAsia="sr-Latn-RS"/>
              </w:rPr>
            </w:pPr>
            <w:r>
              <w:rPr>
                <w:rFonts w:asciiTheme="minorHAnsi" w:hAnsiTheme="minorHAnsi"/>
                <w:sz w:val="18"/>
                <w:szCs w:val="18"/>
                <w:lang w:val="sr-Cyrl-BA" w:eastAsia="sr-Latn-RS"/>
              </w:rPr>
              <w:t>1.700.000,00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E5746" w:rsidRPr="00083935" w:rsidRDefault="00FE5746" w:rsidP="0069428E">
            <w:pPr>
              <w:jc w:val="right"/>
              <w:rPr>
                <w:rFonts w:asciiTheme="minorHAnsi" w:hAnsiTheme="minorHAnsi"/>
                <w:sz w:val="18"/>
                <w:szCs w:val="18"/>
                <w:lang w:val="sr-Cyrl-BA" w:eastAsia="sr-Latn-RS"/>
              </w:rPr>
            </w:pPr>
            <w:r>
              <w:rPr>
                <w:rFonts w:asciiTheme="minorHAnsi" w:hAnsiTheme="minorHAnsi"/>
                <w:sz w:val="18"/>
                <w:szCs w:val="18"/>
                <w:lang w:val="sr-Cyrl-BA" w:eastAsia="sr-Latn-RS"/>
              </w:rPr>
              <w:t>850.000,00</w:t>
            </w:r>
          </w:p>
        </w:tc>
        <w:tc>
          <w:tcPr>
            <w:tcW w:w="1559" w:type="dxa"/>
            <w:tcBorders>
              <w:top w:val="single" w:sz="4" w:space="0" w:color="auto"/>
              <w:left w:val="single" w:sz="4" w:space="0" w:color="auto"/>
              <w:bottom w:val="single" w:sz="4" w:space="0" w:color="auto"/>
              <w:right w:val="single" w:sz="4" w:space="0" w:color="auto"/>
            </w:tcBorders>
            <w:vAlign w:val="center"/>
          </w:tcPr>
          <w:p w:rsidR="00FE5746" w:rsidRDefault="005912C6" w:rsidP="0069428E">
            <w:pPr>
              <w:jc w:val="right"/>
              <w:rPr>
                <w:rFonts w:asciiTheme="minorHAnsi" w:hAnsiTheme="minorHAnsi"/>
                <w:sz w:val="18"/>
                <w:szCs w:val="18"/>
                <w:lang w:val="sr-Cyrl-BA" w:eastAsia="sr-Latn-RS"/>
              </w:rPr>
            </w:pPr>
            <w:r>
              <w:rPr>
                <w:rFonts w:asciiTheme="minorHAnsi" w:hAnsiTheme="minorHAnsi"/>
                <w:sz w:val="18"/>
                <w:szCs w:val="18"/>
                <w:lang w:val="sr-Cyrl-BA" w:eastAsia="sr-Latn-RS"/>
              </w:rPr>
              <w:t>697.987,11</w:t>
            </w:r>
          </w:p>
        </w:tc>
      </w:tr>
      <w:tr w:rsidR="00E13F69" w:rsidRPr="005767EF" w:rsidTr="006F1C03">
        <w:trPr>
          <w:trHeight w:val="41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FE5746" w:rsidP="00F75B3A">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2</w:t>
            </w:r>
            <w:r w:rsidR="00E13F69" w:rsidRPr="00083935">
              <w:rPr>
                <w:rFonts w:asciiTheme="minorHAnsi" w:hAnsiTheme="minorHAnsi"/>
                <w:bCs/>
                <w:sz w:val="18"/>
                <w:szCs w:val="18"/>
                <w:lang w:val="sr-Cyrl-RS" w:eastAsia="sr-Latn-R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E13F69" w:rsidP="00F75B3A">
            <w:pPr>
              <w:jc w:val="left"/>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Интерлигнум д.о.о. Теслић</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E13F69" w:rsidP="00F75B3A">
            <w:pPr>
              <w:ind w:left="-249"/>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2.000.000,00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E13F69" w:rsidP="0069428E">
            <w:pPr>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1.200.000,00</w:t>
            </w:r>
          </w:p>
        </w:tc>
        <w:tc>
          <w:tcPr>
            <w:tcW w:w="1559" w:type="dxa"/>
            <w:tcBorders>
              <w:top w:val="single" w:sz="4" w:space="0" w:color="auto"/>
              <w:left w:val="single" w:sz="4" w:space="0" w:color="auto"/>
              <w:bottom w:val="single" w:sz="4" w:space="0" w:color="auto"/>
              <w:right w:val="single" w:sz="4" w:space="0" w:color="auto"/>
            </w:tcBorders>
            <w:vAlign w:val="center"/>
          </w:tcPr>
          <w:p w:rsidR="00E13F69" w:rsidRPr="00083935" w:rsidRDefault="005912C6" w:rsidP="0069428E">
            <w:pPr>
              <w:jc w:val="right"/>
              <w:rPr>
                <w:rFonts w:asciiTheme="minorHAnsi" w:hAnsiTheme="minorHAnsi"/>
                <w:sz w:val="18"/>
                <w:szCs w:val="18"/>
                <w:lang w:val="sr-Cyrl-BA" w:eastAsia="sr-Latn-RS"/>
              </w:rPr>
            </w:pPr>
            <w:r>
              <w:rPr>
                <w:rFonts w:asciiTheme="minorHAnsi" w:hAnsiTheme="minorHAnsi"/>
                <w:sz w:val="18"/>
                <w:szCs w:val="18"/>
                <w:lang w:val="sr-Cyrl-BA" w:eastAsia="sr-Latn-RS"/>
              </w:rPr>
              <w:t>858.081,56</w:t>
            </w:r>
          </w:p>
        </w:tc>
      </w:tr>
      <w:tr w:rsidR="00E13F69" w:rsidRPr="005767EF" w:rsidTr="006F1C03">
        <w:trPr>
          <w:trHeight w:val="408"/>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FE5746" w:rsidP="00F75B3A">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3</w:t>
            </w:r>
            <w:r w:rsidR="00E13F69" w:rsidRPr="00083935">
              <w:rPr>
                <w:rFonts w:asciiTheme="minorHAnsi" w:hAnsiTheme="minorHAnsi"/>
                <w:bCs/>
                <w:sz w:val="18"/>
                <w:szCs w:val="18"/>
                <w:lang w:val="sr-Cyrl-RS" w:eastAsia="sr-Latn-R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E13F69" w:rsidP="00F75B3A">
            <w:pPr>
              <w:jc w:val="left"/>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Дрвна индустрија Шипово д.о.о. Шипово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E13F69" w:rsidP="00F75B3A">
            <w:pPr>
              <w:ind w:left="-249"/>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2.200.000,00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3F69" w:rsidRPr="00083935" w:rsidRDefault="00E13F69" w:rsidP="0069428E">
            <w:pPr>
              <w:jc w:val="right"/>
              <w:rPr>
                <w:rFonts w:asciiTheme="minorHAnsi" w:hAnsiTheme="minorHAnsi"/>
                <w:b/>
                <w:sz w:val="18"/>
                <w:szCs w:val="18"/>
                <w:lang w:val="sr-Cyrl-BA" w:eastAsia="sr-Latn-RS"/>
              </w:rPr>
            </w:pPr>
            <w:r w:rsidRPr="00083935">
              <w:rPr>
                <w:rFonts w:asciiTheme="minorHAnsi" w:hAnsiTheme="minorHAnsi"/>
                <w:sz w:val="18"/>
                <w:szCs w:val="18"/>
                <w:lang w:val="sr-Cyrl-BA" w:eastAsia="sr-Latn-RS"/>
              </w:rPr>
              <w:t>660.000,00</w:t>
            </w:r>
          </w:p>
        </w:tc>
        <w:tc>
          <w:tcPr>
            <w:tcW w:w="1559" w:type="dxa"/>
            <w:tcBorders>
              <w:top w:val="single" w:sz="4" w:space="0" w:color="auto"/>
              <w:left w:val="single" w:sz="4" w:space="0" w:color="auto"/>
              <w:bottom w:val="single" w:sz="4" w:space="0" w:color="auto"/>
              <w:right w:val="single" w:sz="4" w:space="0" w:color="auto"/>
            </w:tcBorders>
            <w:vAlign w:val="center"/>
          </w:tcPr>
          <w:p w:rsidR="00E13F69" w:rsidRPr="00083935" w:rsidRDefault="005912C6" w:rsidP="0069428E">
            <w:pPr>
              <w:jc w:val="right"/>
              <w:rPr>
                <w:rFonts w:asciiTheme="minorHAnsi" w:hAnsiTheme="minorHAnsi"/>
                <w:sz w:val="18"/>
                <w:szCs w:val="18"/>
                <w:lang w:val="sr-Cyrl-BA" w:eastAsia="sr-Latn-RS"/>
              </w:rPr>
            </w:pPr>
            <w:r>
              <w:rPr>
                <w:rFonts w:asciiTheme="minorHAnsi" w:hAnsiTheme="minorHAnsi"/>
                <w:sz w:val="18"/>
                <w:szCs w:val="18"/>
                <w:lang w:val="sr-Cyrl-BA" w:eastAsia="sr-Latn-RS"/>
              </w:rPr>
              <w:t>554.638,43</w:t>
            </w:r>
          </w:p>
        </w:tc>
      </w:tr>
      <w:tr w:rsidR="00E13F69" w:rsidRPr="005767EF" w:rsidTr="003723CC">
        <w:trPr>
          <w:trHeight w:val="379"/>
        </w:trPr>
        <w:tc>
          <w:tcPr>
            <w:tcW w:w="4077"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13F69" w:rsidRPr="00083935" w:rsidRDefault="00E13F69" w:rsidP="00F30F98">
            <w:pPr>
              <w:jc w:val="right"/>
              <w:rPr>
                <w:rFonts w:asciiTheme="minorHAnsi" w:hAnsiTheme="minorHAnsi"/>
                <w:sz w:val="18"/>
                <w:szCs w:val="18"/>
                <w:lang w:val="sr-Cyrl-RS" w:eastAsia="sr-Latn-RS"/>
              </w:rPr>
            </w:pPr>
            <w:r w:rsidRPr="00083935">
              <w:rPr>
                <w:rFonts w:asciiTheme="minorHAnsi" w:hAnsiTheme="minorHAnsi"/>
                <w:b/>
                <w:bCs/>
                <w:sz w:val="18"/>
                <w:szCs w:val="18"/>
                <w:lang w:val="sr-Cyrl-RS" w:eastAsia="sr-Latn-RS"/>
              </w:rPr>
              <w:t xml:space="preserve">                               УКУПНО</w:t>
            </w:r>
            <w:r>
              <w:rPr>
                <w:rFonts w:asciiTheme="minorHAnsi" w:hAnsiTheme="minorHAnsi"/>
                <w:b/>
                <w:bCs/>
                <w:sz w:val="18"/>
                <w:szCs w:val="18"/>
                <w:lang w:val="sr-Cyrl-RS" w:eastAsia="sr-Latn-RS"/>
              </w:rPr>
              <w:t xml:space="preserve">   </w:t>
            </w:r>
            <w:r w:rsidRPr="00083935">
              <w:rPr>
                <w:rFonts w:asciiTheme="minorHAnsi" w:hAnsiTheme="minorHAnsi"/>
                <w:b/>
                <w:bCs/>
                <w:sz w:val="18"/>
                <w:szCs w:val="18"/>
                <w:lang w:val="sr-Cyrl-RS" w:eastAsia="sr-Latn-RS"/>
              </w:rPr>
              <w:t xml:space="preserve">                                                     </w:t>
            </w:r>
            <w:r>
              <w:rPr>
                <w:rFonts w:asciiTheme="minorHAnsi" w:hAnsiTheme="minorHAnsi"/>
                <w:b/>
                <w:bCs/>
                <w:sz w:val="18"/>
                <w:szCs w:val="18"/>
                <w:lang w:val="sr-Cyrl-RS" w:eastAsia="sr-Latn-R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13F69" w:rsidRPr="00083935" w:rsidRDefault="00185EB3" w:rsidP="00F75B3A">
            <w:pPr>
              <w:ind w:left="-249"/>
              <w:jc w:val="right"/>
              <w:rPr>
                <w:rFonts w:asciiTheme="minorHAnsi" w:hAnsiTheme="minorHAnsi"/>
                <w:b/>
                <w:sz w:val="18"/>
                <w:szCs w:val="18"/>
                <w:lang w:val="sr-Cyrl-BA" w:eastAsia="sr-Latn-RS"/>
              </w:rPr>
            </w:pPr>
            <w:r>
              <w:rPr>
                <w:rFonts w:asciiTheme="minorHAnsi" w:hAnsiTheme="minorHAnsi"/>
                <w:b/>
                <w:sz w:val="18"/>
                <w:szCs w:val="18"/>
                <w:lang w:val="sr-Cyrl-BA" w:eastAsia="sr-Latn-RS"/>
              </w:rPr>
              <w:t>5.9</w:t>
            </w:r>
            <w:r w:rsidR="00E13F69" w:rsidRPr="00083935">
              <w:rPr>
                <w:rFonts w:asciiTheme="minorHAnsi" w:hAnsiTheme="minorHAnsi"/>
                <w:b/>
                <w:sz w:val="18"/>
                <w:szCs w:val="18"/>
                <w:lang w:val="sr-Cyrl-BA" w:eastAsia="sr-Latn-RS"/>
              </w:rPr>
              <w:t>00.000,00</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13F69" w:rsidRPr="003723CC" w:rsidRDefault="00185EB3" w:rsidP="00F75B3A">
            <w:pPr>
              <w:jc w:val="right"/>
              <w:rPr>
                <w:rFonts w:asciiTheme="minorHAnsi" w:hAnsiTheme="minorHAnsi"/>
                <w:b/>
                <w:sz w:val="18"/>
                <w:szCs w:val="18"/>
                <w:lang w:val="sr-Cyrl-BA" w:eastAsia="sr-Latn-RS"/>
              </w:rPr>
            </w:pPr>
            <w:r w:rsidRPr="003723CC">
              <w:rPr>
                <w:rFonts w:asciiTheme="minorHAnsi" w:hAnsiTheme="minorHAnsi"/>
                <w:b/>
                <w:sz w:val="18"/>
                <w:szCs w:val="18"/>
                <w:lang w:val="sr-Cyrl-BA" w:eastAsia="sr-Latn-RS"/>
              </w:rPr>
              <w:t>2.710</w:t>
            </w:r>
            <w:r w:rsidR="00E13F69" w:rsidRPr="003723CC">
              <w:rPr>
                <w:rFonts w:asciiTheme="minorHAnsi" w:hAnsiTheme="minorHAnsi"/>
                <w:b/>
                <w:sz w:val="18"/>
                <w:szCs w:val="18"/>
                <w:lang w:val="sr-Cyrl-BA" w:eastAsia="sr-Latn-RS"/>
              </w:rPr>
              <w:t>.000,00</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13F69" w:rsidRPr="003723CC" w:rsidRDefault="003723CC" w:rsidP="003723CC">
            <w:pPr>
              <w:jc w:val="right"/>
              <w:rPr>
                <w:rFonts w:ascii="Calibri" w:hAnsi="Calibri"/>
                <w:b/>
                <w:sz w:val="18"/>
                <w:szCs w:val="18"/>
              </w:rPr>
            </w:pPr>
            <w:r w:rsidRPr="003723CC">
              <w:rPr>
                <w:rFonts w:ascii="Calibri" w:hAnsi="Calibri"/>
                <w:b/>
                <w:sz w:val="18"/>
                <w:szCs w:val="18"/>
              </w:rPr>
              <w:t>2.110.707,10</w:t>
            </w:r>
          </w:p>
        </w:tc>
      </w:tr>
    </w:tbl>
    <w:p w:rsidR="00E037F4" w:rsidRDefault="00E037F4" w:rsidP="001538EF">
      <w:pPr>
        <w:rPr>
          <w:rFonts w:asciiTheme="minorHAnsi" w:hAnsiTheme="minorHAnsi"/>
          <w:sz w:val="20"/>
          <w:szCs w:val="20"/>
          <w:lang w:val="sr-Cyrl-BA"/>
        </w:rPr>
      </w:pPr>
    </w:p>
    <w:p w:rsidR="00E037F4" w:rsidRDefault="00E85509" w:rsidP="001538EF">
      <w:pPr>
        <w:rPr>
          <w:rFonts w:asciiTheme="minorHAnsi" w:hAnsiTheme="minorHAnsi"/>
          <w:sz w:val="20"/>
          <w:szCs w:val="20"/>
          <w:lang w:val="sr-Cyrl-BA"/>
        </w:rPr>
      </w:pPr>
      <w:r>
        <w:rPr>
          <w:rFonts w:asciiTheme="minorHAnsi" w:hAnsiTheme="minorHAnsi"/>
          <w:sz w:val="20"/>
          <w:szCs w:val="20"/>
          <w:lang w:val="sr-Cyrl-BA"/>
        </w:rPr>
        <w:t>Изложеност Гарантног фонда по основу изданих гаранција на емитоване обвезнице привр</w:t>
      </w:r>
      <w:r w:rsidR="00705FDC">
        <w:rPr>
          <w:rFonts w:asciiTheme="minorHAnsi" w:hAnsiTheme="minorHAnsi"/>
          <w:sz w:val="20"/>
          <w:szCs w:val="20"/>
          <w:lang w:val="sr-Cyrl-BA"/>
        </w:rPr>
        <w:t>едних друштава на дан 31.12.2024. године износи 2.110.707,10</w:t>
      </w:r>
      <w:r>
        <w:rPr>
          <w:rFonts w:asciiTheme="minorHAnsi" w:hAnsiTheme="minorHAnsi"/>
          <w:sz w:val="20"/>
          <w:szCs w:val="20"/>
          <w:lang w:val="sr-Cyrl-BA"/>
        </w:rPr>
        <w:t xml:space="preserve"> КМ.</w:t>
      </w:r>
    </w:p>
    <w:p w:rsidR="00E85509" w:rsidRDefault="00E85509" w:rsidP="001538EF">
      <w:pPr>
        <w:rPr>
          <w:rFonts w:asciiTheme="minorHAnsi" w:hAnsiTheme="minorHAnsi"/>
          <w:sz w:val="20"/>
          <w:szCs w:val="20"/>
          <w:lang w:val="sr-Cyrl-BA"/>
        </w:rPr>
      </w:pPr>
    </w:p>
    <w:p w:rsidR="0033083E" w:rsidRDefault="00E85509" w:rsidP="001538EF">
      <w:pPr>
        <w:rPr>
          <w:rFonts w:asciiTheme="minorHAnsi" w:hAnsiTheme="minorHAnsi"/>
          <w:sz w:val="20"/>
          <w:szCs w:val="20"/>
          <w:lang w:val="sr-Cyrl-BA"/>
        </w:rPr>
      </w:pPr>
      <w:r>
        <w:rPr>
          <w:rFonts w:asciiTheme="minorHAnsi" w:hAnsiTheme="minorHAnsi"/>
          <w:sz w:val="20"/>
          <w:szCs w:val="20"/>
          <w:lang w:val="sr-Cyrl-BA"/>
        </w:rPr>
        <w:t xml:space="preserve">Специфичност гаранција на емитоване хартије од вриједности је и у томе што Гарантни фонд гарантује </w:t>
      </w:r>
      <w:r w:rsidR="005C35BE">
        <w:rPr>
          <w:rFonts w:asciiTheme="minorHAnsi" w:hAnsiTheme="minorHAnsi"/>
          <w:sz w:val="20"/>
          <w:szCs w:val="20"/>
          <w:lang w:val="sr-Cyrl-BA"/>
        </w:rPr>
        <w:t xml:space="preserve">за </w:t>
      </w:r>
      <w:r>
        <w:rPr>
          <w:rFonts w:asciiTheme="minorHAnsi" w:hAnsiTheme="minorHAnsi"/>
          <w:sz w:val="20"/>
          <w:szCs w:val="20"/>
          <w:lang w:val="sr-Cyrl-BA"/>
        </w:rPr>
        <w:t>дио главнице сваког доспјелог ануитета</w:t>
      </w:r>
      <w:r w:rsidR="005C35BE">
        <w:rPr>
          <w:rFonts w:asciiTheme="minorHAnsi" w:hAnsiTheme="minorHAnsi"/>
          <w:sz w:val="20"/>
          <w:szCs w:val="20"/>
          <w:lang w:val="sr-Cyrl-BA"/>
        </w:rPr>
        <w:t>. Укупан износ гаранције је једнак збиру појединачних гаранција на сваки мјесечни ануитет</w:t>
      </w:r>
      <w:r>
        <w:rPr>
          <w:rFonts w:asciiTheme="minorHAnsi" w:hAnsiTheme="minorHAnsi"/>
          <w:sz w:val="20"/>
          <w:szCs w:val="20"/>
          <w:lang w:val="sr-Cyrl-BA"/>
        </w:rPr>
        <w:t xml:space="preserve">, </w:t>
      </w:r>
      <w:r w:rsidR="005C35BE">
        <w:rPr>
          <w:rFonts w:asciiTheme="minorHAnsi" w:hAnsiTheme="minorHAnsi"/>
          <w:sz w:val="20"/>
          <w:szCs w:val="20"/>
          <w:lang w:val="sr-Cyrl-BA"/>
        </w:rPr>
        <w:t>те се</w:t>
      </w:r>
      <w:r>
        <w:rPr>
          <w:rFonts w:asciiTheme="minorHAnsi" w:hAnsiTheme="minorHAnsi"/>
          <w:sz w:val="20"/>
          <w:szCs w:val="20"/>
          <w:lang w:val="sr-Cyrl-BA"/>
        </w:rPr>
        <w:t xml:space="preserve"> издаје онолико гаранција колико траје период отплате.</w:t>
      </w:r>
      <w:r w:rsidR="005C35BE">
        <w:rPr>
          <w:rFonts w:asciiTheme="minorHAnsi" w:hAnsiTheme="minorHAnsi"/>
          <w:sz w:val="20"/>
          <w:szCs w:val="20"/>
          <w:lang w:val="sr-Cyrl-BA"/>
        </w:rPr>
        <w:t xml:space="preserve"> Платни агент, у случају неплаћања ануитета од стране емитента, подноси захтјев за плаћање појединачне гаранције која је везана за неплаћени ануитет.</w:t>
      </w:r>
      <w:r w:rsidR="00705FDC">
        <w:rPr>
          <w:rFonts w:asciiTheme="minorHAnsi" w:hAnsiTheme="minorHAnsi"/>
          <w:sz w:val="20"/>
          <w:szCs w:val="20"/>
          <w:lang w:val="sr-Cyrl-BA"/>
        </w:rPr>
        <w:t xml:space="preserve"> </w:t>
      </w:r>
    </w:p>
    <w:p w:rsidR="0033083E" w:rsidRDefault="0033083E" w:rsidP="001538EF">
      <w:pPr>
        <w:rPr>
          <w:rFonts w:asciiTheme="minorHAnsi" w:hAnsiTheme="minorHAnsi"/>
          <w:sz w:val="20"/>
          <w:szCs w:val="20"/>
          <w:lang w:val="sr-Cyrl-BA"/>
        </w:rPr>
      </w:pPr>
    </w:p>
    <w:p w:rsidR="005C35BE" w:rsidRDefault="005C35BE" w:rsidP="001538EF">
      <w:pPr>
        <w:rPr>
          <w:rFonts w:asciiTheme="minorHAnsi" w:hAnsiTheme="minorHAnsi"/>
          <w:sz w:val="20"/>
          <w:szCs w:val="20"/>
          <w:lang w:val="sr-Cyrl-BA"/>
        </w:rPr>
      </w:pPr>
      <w:r>
        <w:rPr>
          <w:rFonts w:asciiTheme="minorHAnsi" w:hAnsiTheme="minorHAnsi"/>
          <w:sz w:val="20"/>
          <w:szCs w:val="20"/>
          <w:lang w:val="sr-Cyrl-BA"/>
        </w:rPr>
        <w:t>Током 20</w:t>
      </w:r>
      <w:r w:rsidR="00FF73BD">
        <w:rPr>
          <w:rFonts w:asciiTheme="minorHAnsi" w:hAnsiTheme="minorHAnsi"/>
          <w:sz w:val="20"/>
          <w:szCs w:val="20"/>
          <w:lang w:val="sr-Cyrl-BA"/>
        </w:rPr>
        <w:t>2</w:t>
      </w:r>
      <w:r w:rsidR="00705FDC">
        <w:rPr>
          <w:rFonts w:asciiTheme="minorHAnsi" w:hAnsiTheme="minorHAnsi"/>
          <w:sz w:val="20"/>
          <w:szCs w:val="20"/>
          <w:lang w:val="sr-Cyrl-BA"/>
        </w:rPr>
        <w:t>4</w:t>
      </w:r>
      <w:r w:rsidR="00FF73BD">
        <w:rPr>
          <w:rFonts w:asciiTheme="minorHAnsi" w:hAnsiTheme="minorHAnsi"/>
          <w:sz w:val="20"/>
          <w:szCs w:val="20"/>
          <w:lang w:val="sr-Cyrl-BA"/>
        </w:rPr>
        <w:t xml:space="preserve">. године, извршен је протест </w:t>
      </w:r>
      <w:r w:rsidR="0033083E">
        <w:rPr>
          <w:rFonts w:asciiTheme="minorHAnsi" w:hAnsiTheme="minorHAnsi"/>
          <w:sz w:val="20"/>
          <w:szCs w:val="20"/>
          <w:lang w:val="sr-Cyrl-BA"/>
        </w:rPr>
        <w:t>12</w:t>
      </w:r>
      <w:r>
        <w:rPr>
          <w:rFonts w:asciiTheme="minorHAnsi" w:hAnsiTheme="minorHAnsi"/>
          <w:sz w:val="20"/>
          <w:szCs w:val="20"/>
          <w:lang w:val="sr-Cyrl-BA"/>
        </w:rPr>
        <w:t xml:space="preserve"> појединачн</w:t>
      </w:r>
      <w:r w:rsidR="0033083E">
        <w:rPr>
          <w:rFonts w:asciiTheme="minorHAnsi" w:hAnsiTheme="minorHAnsi"/>
          <w:sz w:val="20"/>
          <w:szCs w:val="20"/>
          <w:lang w:val="sr-Cyrl-BA"/>
        </w:rPr>
        <w:t>их</w:t>
      </w:r>
      <w:r>
        <w:rPr>
          <w:rFonts w:asciiTheme="minorHAnsi" w:hAnsiTheme="minorHAnsi"/>
          <w:sz w:val="20"/>
          <w:szCs w:val="20"/>
          <w:lang w:val="sr-Cyrl-BA"/>
        </w:rPr>
        <w:t xml:space="preserve"> гаранције на емитоване обвезнице клијента Интерлигнум д.о.о. Теслић у </w:t>
      </w:r>
      <w:r w:rsidR="0033083E">
        <w:rPr>
          <w:rFonts w:asciiTheme="minorHAnsi" w:hAnsiTheme="minorHAnsi"/>
          <w:sz w:val="20"/>
          <w:szCs w:val="20"/>
          <w:lang w:val="sr-Cyrl-BA"/>
        </w:rPr>
        <w:t xml:space="preserve">укупном износу од </w:t>
      </w:r>
      <w:r w:rsidR="00017AE1">
        <w:rPr>
          <w:rFonts w:asciiTheme="minorHAnsi" w:eastAsiaTheme="minorHAnsi" w:hAnsiTheme="minorHAnsi"/>
          <w:color w:val="auto"/>
          <w:sz w:val="20"/>
          <w:szCs w:val="20"/>
          <w:lang w:val="sr-Cyrl-BA" w:eastAsia="en-US"/>
        </w:rPr>
        <w:t>220.800,33</w:t>
      </w:r>
      <w:r w:rsidR="00195FB5" w:rsidRPr="007B3B64">
        <w:rPr>
          <w:rFonts w:asciiTheme="minorHAnsi" w:eastAsiaTheme="minorHAnsi" w:hAnsiTheme="minorHAnsi"/>
          <w:color w:val="auto"/>
          <w:sz w:val="20"/>
          <w:szCs w:val="20"/>
          <w:lang w:val="sr-Cyrl-BA" w:eastAsia="en-US"/>
        </w:rPr>
        <w:t xml:space="preserve"> </w:t>
      </w:r>
      <w:r w:rsidR="0033083E">
        <w:rPr>
          <w:rFonts w:asciiTheme="minorHAnsi" w:hAnsiTheme="minorHAnsi"/>
          <w:sz w:val="20"/>
          <w:szCs w:val="20"/>
          <w:lang w:val="sr-Cyrl-BA"/>
        </w:rPr>
        <w:t xml:space="preserve">КМ и једне појединачне гаранције на емитоване обвезнице привредног друштва Дрвна индустрија Шипово д.о.о. Шипово у износу од 6.834,28 КМ, те је укупан </w:t>
      </w:r>
      <w:r w:rsidR="006B0FF2">
        <w:rPr>
          <w:rFonts w:asciiTheme="minorHAnsi" w:hAnsiTheme="minorHAnsi"/>
          <w:sz w:val="20"/>
          <w:szCs w:val="20"/>
          <w:lang w:val="sr-Cyrl-BA"/>
        </w:rPr>
        <w:t xml:space="preserve">плаћени износ по овом основу </w:t>
      </w:r>
      <w:r w:rsidR="00017AE1">
        <w:rPr>
          <w:rFonts w:asciiTheme="minorHAnsi" w:hAnsiTheme="minorHAnsi"/>
          <w:sz w:val="20"/>
          <w:szCs w:val="20"/>
          <w:lang w:val="sr-Cyrl-BA"/>
        </w:rPr>
        <w:t>227.634,11</w:t>
      </w:r>
      <w:r w:rsidR="00195FB5">
        <w:rPr>
          <w:rFonts w:asciiTheme="minorHAnsi" w:hAnsiTheme="minorHAnsi"/>
          <w:sz w:val="20"/>
          <w:szCs w:val="20"/>
          <w:lang w:val="sr-Cyrl-BA"/>
        </w:rPr>
        <w:t xml:space="preserve"> </w:t>
      </w:r>
      <w:r w:rsidR="006B0FF2">
        <w:rPr>
          <w:rFonts w:asciiTheme="minorHAnsi" w:hAnsiTheme="minorHAnsi"/>
          <w:sz w:val="20"/>
          <w:szCs w:val="20"/>
          <w:lang w:val="sr-Cyrl-BA"/>
        </w:rPr>
        <w:t xml:space="preserve">КМ. </w:t>
      </w:r>
    </w:p>
    <w:p w:rsidR="00705FDC" w:rsidRDefault="00705FDC" w:rsidP="001538EF">
      <w:pPr>
        <w:rPr>
          <w:rFonts w:asciiTheme="minorHAnsi" w:hAnsiTheme="minorHAnsi"/>
          <w:sz w:val="20"/>
          <w:szCs w:val="20"/>
          <w:lang w:val="sr-Cyrl-BA"/>
        </w:rPr>
      </w:pPr>
    </w:p>
    <w:p w:rsidR="00A944C8" w:rsidRPr="00A944C8" w:rsidRDefault="00A944C8" w:rsidP="00A944C8">
      <w:pPr>
        <w:pStyle w:val="Heading2"/>
        <w:numPr>
          <w:ilvl w:val="0"/>
          <w:numId w:val="0"/>
        </w:numPr>
        <w:rPr>
          <w:rFonts w:asciiTheme="minorHAnsi" w:hAnsiTheme="minorHAnsi"/>
          <w:color w:val="FF0000"/>
          <w:szCs w:val="20"/>
          <w:lang w:val="sr-Cyrl-RS"/>
        </w:rPr>
      </w:pPr>
      <w:bookmarkStart w:id="9" w:name="_Toc135292171"/>
      <w:r w:rsidRPr="00A944C8">
        <w:rPr>
          <w:rFonts w:asciiTheme="minorHAnsi" w:hAnsiTheme="minorHAnsi"/>
          <w:szCs w:val="20"/>
          <w:lang w:val="sr-Cyrl-RS"/>
        </w:rPr>
        <w:t xml:space="preserve">2.3. </w:t>
      </w:r>
      <w:r w:rsidR="00BC5934">
        <w:rPr>
          <w:rFonts w:asciiTheme="minorHAnsi" w:hAnsiTheme="minorHAnsi"/>
          <w:szCs w:val="20"/>
        </w:rPr>
        <w:t>АНАЛИЗА</w:t>
      </w:r>
      <w:r w:rsidR="00BC5934">
        <w:rPr>
          <w:rFonts w:asciiTheme="minorHAnsi" w:hAnsiTheme="minorHAnsi"/>
          <w:szCs w:val="20"/>
          <w:lang w:val="sr-Cyrl-RS"/>
        </w:rPr>
        <w:t xml:space="preserve"> </w:t>
      </w:r>
      <w:r w:rsidRPr="00A944C8">
        <w:rPr>
          <w:rFonts w:asciiTheme="minorHAnsi" w:hAnsiTheme="minorHAnsi"/>
          <w:szCs w:val="20"/>
        </w:rPr>
        <w:t>ИЗЛОЖЕНОСТИ ГАРАНТНОГ ФОНДА РЕПУБЛИКЕ СРПСКЕ ПРЕМА ФИНАНСИЈСКИМ ПОСРЕДНИЦИМА НА ДАН 31.12.202</w:t>
      </w:r>
      <w:r w:rsidR="00E90D1F">
        <w:rPr>
          <w:rFonts w:asciiTheme="minorHAnsi" w:hAnsiTheme="minorHAnsi"/>
          <w:szCs w:val="20"/>
          <w:lang w:val="sr-Cyrl-RS"/>
        </w:rPr>
        <w:t>4</w:t>
      </w:r>
      <w:r w:rsidRPr="00A944C8">
        <w:rPr>
          <w:rFonts w:asciiTheme="minorHAnsi" w:hAnsiTheme="minorHAnsi"/>
          <w:szCs w:val="20"/>
        </w:rPr>
        <w:t>.</w:t>
      </w:r>
      <w:bookmarkEnd w:id="9"/>
      <w:r w:rsidRPr="00A944C8">
        <w:rPr>
          <w:rFonts w:asciiTheme="minorHAnsi" w:hAnsiTheme="minorHAnsi"/>
          <w:szCs w:val="20"/>
          <w:lang w:val="sr-Cyrl-RS"/>
        </w:rPr>
        <w:t xml:space="preserve"> ГОДИНЕ</w:t>
      </w:r>
    </w:p>
    <w:p w:rsidR="00A944C8" w:rsidRDefault="00A944C8" w:rsidP="00CF5C14">
      <w:pPr>
        <w:autoSpaceDE w:val="0"/>
        <w:autoSpaceDN w:val="0"/>
        <w:adjustRightInd w:val="0"/>
        <w:jc w:val="left"/>
        <w:rPr>
          <w:rFonts w:asciiTheme="minorHAnsi" w:eastAsiaTheme="minorHAnsi" w:hAnsiTheme="minorHAnsi"/>
          <w:b/>
          <w:color w:val="auto"/>
          <w:sz w:val="20"/>
          <w:szCs w:val="20"/>
          <w:lang w:val="sr-Cyrl-BA" w:eastAsia="en-US"/>
        </w:rPr>
      </w:pPr>
    </w:p>
    <w:p w:rsidR="00CF5C14" w:rsidRDefault="00CF5C14" w:rsidP="00CF5C14">
      <w:pPr>
        <w:autoSpaceDE w:val="0"/>
        <w:autoSpaceDN w:val="0"/>
        <w:adjustRightInd w:val="0"/>
        <w:rPr>
          <w:rFonts w:asciiTheme="minorHAnsi" w:eastAsiaTheme="minorHAnsi" w:hAnsiTheme="minorHAnsi"/>
          <w:color w:val="auto"/>
          <w:sz w:val="20"/>
          <w:szCs w:val="20"/>
          <w:lang w:val="sr-Cyrl-BA" w:eastAsia="en-US"/>
        </w:rPr>
      </w:pPr>
      <w:r w:rsidRPr="00CF5C14">
        <w:rPr>
          <w:rFonts w:asciiTheme="minorHAnsi" w:eastAsiaTheme="minorHAnsi" w:hAnsiTheme="minorHAnsi"/>
          <w:color w:val="auto"/>
          <w:sz w:val="20"/>
          <w:szCs w:val="20"/>
          <w:lang w:val="sr-Cyrl-BA" w:eastAsia="en-US"/>
        </w:rPr>
        <w:t>Изложеност Гарантног фонда Републике Српске према финансијским посредницима на дан 31.12.202</w:t>
      </w:r>
      <w:r w:rsidR="00E90D1F">
        <w:rPr>
          <w:rFonts w:asciiTheme="minorHAnsi" w:eastAsiaTheme="minorHAnsi" w:hAnsiTheme="minorHAnsi"/>
          <w:color w:val="auto"/>
          <w:sz w:val="20"/>
          <w:szCs w:val="20"/>
          <w:lang w:val="sr-Cyrl-BA" w:eastAsia="en-US"/>
        </w:rPr>
        <w:t>4</w:t>
      </w:r>
      <w:r w:rsidRPr="00CF5C14">
        <w:rPr>
          <w:rFonts w:asciiTheme="minorHAnsi" w:eastAsiaTheme="minorHAnsi" w:hAnsiTheme="minorHAnsi"/>
          <w:color w:val="auto"/>
          <w:sz w:val="20"/>
          <w:szCs w:val="20"/>
          <w:lang w:val="sr-Cyrl-BA" w:eastAsia="en-US"/>
        </w:rPr>
        <w:t xml:space="preserve">. године је потенцијална обавеза коју Фонд има према банкама, односно другим финансијским </w:t>
      </w:r>
      <w:r w:rsidR="009051D2">
        <w:rPr>
          <w:rFonts w:asciiTheme="minorHAnsi" w:eastAsiaTheme="minorHAnsi" w:hAnsiTheme="minorHAnsi"/>
          <w:color w:val="auto"/>
          <w:sz w:val="20"/>
          <w:szCs w:val="20"/>
          <w:lang w:val="sr-Cyrl-BA" w:eastAsia="en-US"/>
        </w:rPr>
        <w:t>организацијама</w:t>
      </w:r>
      <w:r w:rsidRPr="00CF5C14">
        <w:rPr>
          <w:rFonts w:asciiTheme="minorHAnsi" w:eastAsiaTheme="minorHAnsi" w:hAnsiTheme="minorHAnsi"/>
          <w:color w:val="auto"/>
          <w:sz w:val="20"/>
          <w:szCs w:val="20"/>
          <w:lang w:val="sr-Cyrl-BA" w:eastAsia="en-US"/>
        </w:rPr>
        <w:t xml:space="preserve"> по основу изданих гаранција. Фонд је према финансијским посредницима изложен по 3 основа: по основу појединачних гаранција на кредите, по основу гаранција на емитоване хартије од вриједности и по основу гаранција на кредитни портф</w:t>
      </w:r>
      <w:r w:rsidR="00E90D1F">
        <w:rPr>
          <w:rFonts w:asciiTheme="minorHAnsi" w:eastAsiaTheme="minorHAnsi" w:hAnsiTheme="minorHAnsi"/>
          <w:color w:val="auto"/>
          <w:sz w:val="20"/>
          <w:szCs w:val="20"/>
          <w:lang w:val="sr-Cyrl-BA" w:eastAsia="en-US"/>
        </w:rPr>
        <w:t>ељ</w:t>
      </w:r>
      <w:r w:rsidRPr="00CF5C14">
        <w:rPr>
          <w:rFonts w:asciiTheme="minorHAnsi" w:eastAsiaTheme="minorHAnsi" w:hAnsiTheme="minorHAnsi"/>
          <w:color w:val="auto"/>
          <w:sz w:val="20"/>
          <w:szCs w:val="20"/>
          <w:lang w:val="sr-Cyrl-BA" w:eastAsia="en-US"/>
        </w:rPr>
        <w:t>.</w:t>
      </w:r>
    </w:p>
    <w:p w:rsidR="009051D2" w:rsidRDefault="009051D2" w:rsidP="00CF5C14">
      <w:pPr>
        <w:autoSpaceDE w:val="0"/>
        <w:autoSpaceDN w:val="0"/>
        <w:adjustRightInd w:val="0"/>
        <w:rPr>
          <w:rFonts w:asciiTheme="minorHAnsi" w:eastAsiaTheme="minorHAnsi" w:hAnsiTheme="minorHAnsi"/>
          <w:color w:val="auto"/>
          <w:sz w:val="20"/>
          <w:szCs w:val="20"/>
          <w:lang w:val="sr-Cyrl-BA" w:eastAsia="en-US"/>
        </w:rPr>
      </w:pPr>
    </w:p>
    <w:p w:rsidR="00724D24" w:rsidRDefault="009051D2" w:rsidP="00CF5C14">
      <w:pPr>
        <w:autoSpaceDE w:val="0"/>
        <w:autoSpaceDN w:val="0"/>
        <w:adjustRightInd w:val="0"/>
        <w:rPr>
          <w:rFonts w:asciiTheme="minorHAnsi" w:eastAsiaTheme="minorHAnsi" w:hAnsiTheme="minorHAnsi"/>
          <w:color w:val="auto"/>
          <w:sz w:val="20"/>
          <w:szCs w:val="20"/>
          <w:lang w:val="sr-Cyrl-BA" w:eastAsia="en-US"/>
        </w:rPr>
      </w:pPr>
      <w:r w:rsidRPr="009051D2">
        <w:rPr>
          <w:rFonts w:asciiTheme="minorHAnsi" w:eastAsiaTheme="minorHAnsi" w:hAnsiTheme="minorHAnsi"/>
          <w:color w:val="auto"/>
          <w:sz w:val="20"/>
          <w:szCs w:val="20"/>
          <w:lang w:val="sr-Cyrl-BA" w:eastAsia="en-US"/>
        </w:rPr>
        <w:t xml:space="preserve">Према одредбама члана 14 став 3 Закона о Гарантном фонду Републике Српске („Службени гласник Републике Српске“, број 50/10), укупан износ гарантованих обавеза према једној банци или финансијској организацији не може бити већи од 30% гарантног потенцијала Фонда. Гарантни потенцијал Фонда </w:t>
      </w:r>
      <w:r>
        <w:rPr>
          <w:rFonts w:asciiTheme="minorHAnsi" w:eastAsiaTheme="minorHAnsi" w:hAnsiTheme="minorHAnsi"/>
          <w:color w:val="auto"/>
          <w:sz w:val="20"/>
          <w:szCs w:val="20"/>
          <w:lang w:val="sr-Cyrl-BA" w:eastAsia="en-US"/>
        </w:rPr>
        <w:t>је једнак трострукој вриједности основног капитала и износи</w:t>
      </w:r>
      <w:r w:rsidRPr="009051D2">
        <w:rPr>
          <w:rFonts w:asciiTheme="minorHAnsi" w:eastAsiaTheme="minorHAnsi" w:hAnsiTheme="minorHAnsi"/>
          <w:color w:val="auto"/>
          <w:sz w:val="20"/>
          <w:szCs w:val="20"/>
          <w:lang w:val="sr-Cyrl-BA" w:eastAsia="en-US"/>
        </w:rPr>
        <w:t xml:space="preserve"> 90.000.000,00 КМ, што је такође утврђено Законом. Дакле, максимална </w:t>
      </w:r>
      <w:r w:rsidR="00EE5F06">
        <w:rPr>
          <w:rFonts w:asciiTheme="minorHAnsi" w:eastAsiaTheme="minorHAnsi" w:hAnsiTheme="minorHAnsi"/>
          <w:color w:val="auto"/>
          <w:sz w:val="20"/>
          <w:szCs w:val="20"/>
          <w:lang w:val="sr-Cyrl-BA" w:eastAsia="en-US"/>
        </w:rPr>
        <w:t xml:space="preserve">дозвољена </w:t>
      </w:r>
      <w:r w:rsidRPr="009051D2">
        <w:rPr>
          <w:rFonts w:asciiTheme="minorHAnsi" w:eastAsiaTheme="minorHAnsi" w:hAnsiTheme="minorHAnsi"/>
          <w:color w:val="auto"/>
          <w:sz w:val="20"/>
          <w:szCs w:val="20"/>
          <w:lang w:val="sr-Cyrl-BA" w:eastAsia="en-US"/>
        </w:rPr>
        <w:t xml:space="preserve">изложеност према једном финансијском посреднику износи 27.000.000,00 КМ. </w:t>
      </w:r>
    </w:p>
    <w:p w:rsidR="00724D24" w:rsidRDefault="00724D24" w:rsidP="00CF5C14">
      <w:pPr>
        <w:autoSpaceDE w:val="0"/>
        <w:autoSpaceDN w:val="0"/>
        <w:adjustRightInd w:val="0"/>
        <w:rPr>
          <w:rFonts w:asciiTheme="minorHAnsi" w:eastAsiaTheme="minorHAnsi" w:hAnsiTheme="minorHAnsi"/>
          <w:color w:val="auto"/>
          <w:sz w:val="20"/>
          <w:szCs w:val="20"/>
          <w:lang w:val="sr-Cyrl-BA" w:eastAsia="en-US"/>
        </w:rPr>
      </w:pPr>
    </w:p>
    <w:p w:rsidR="007E2AAA" w:rsidRDefault="009051D2" w:rsidP="00CF5C14">
      <w:pPr>
        <w:autoSpaceDE w:val="0"/>
        <w:autoSpaceDN w:val="0"/>
        <w:adjustRightInd w:val="0"/>
        <w:rPr>
          <w:rFonts w:asciiTheme="minorHAnsi" w:eastAsiaTheme="minorHAnsi" w:hAnsiTheme="minorHAnsi"/>
          <w:color w:val="auto"/>
          <w:sz w:val="20"/>
          <w:szCs w:val="20"/>
          <w:lang w:val="sr-Cyrl-BA" w:eastAsia="en-US"/>
        </w:rPr>
      </w:pPr>
      <w:r w:rsidRPr="009051D2">
        <w:rPr>
          <w:rFonts w:asciiTheme="minorHAnsi" w:eastAsiaTheme="minorHAnsi" w:hAnsiTheme="minorHAnsi"/>
          <w:color w:val="auto"/>
          <w:sz w:val="20"/>
          <w:szCs w:val="20"/>
          <w:lang w:val="sr-Cyrl-BA" w:eastAsia="en-US"/>
        </w:rPr>
        <w:t xml:space="preserve">Последња колона у табели 16 приказује </w:t>
      </w:r>
      <w:r w:rsidR="00EE5F06">
        <w:rPr>
          <w:rFonts w:asciiTheme="minorHAnsi" w:eastAsiaTheme="minorHAnsi" w:hAnsiTheme="minorHAnsi"/>
          <w:color w:val="auto"/>
          <w:sz w:val="20"/>
          <w:szCs w:val="20"/>
          <w:lang w:val="sr-Cyrl-BA" w:eastAsia="en-US"/>
        </w:rPr>
        <w:t xml:space="preserve">укупну изложеност </w:t>
      </w:r>
      <w:r w:rsidR="00EE5F06" w:rsidRPr="00EE5F06">
        <w:rPr>
          <w:rFonts w:asciiTheme="minorHAnsi" w:eastAsiaTheme="minorHAnsi" w:hAnsiTheme="minorHAnsi"/>
          <w:color w:val="auto"/>
          <w:sz w:val="20"/>
          <w:szCs w:val="20"/>
          <w:lang w:val="sr-Cyrl-BA" w:eastAsia="en-US"/>
        </w:rPr>
        <w:t xml:space="preserve">према сваком </w:t>
      </w:r>
      <w:r w:rsidRPr="00EE5F06">
        <w:rPr>
          <w:rFonts w:asciiTheme="minorHAnsi" w:eastAsiaTheme="minorHAnsi" w:hAnsiTheme="minorHAnsi"/>
          <w:color w:val="auto"/>
          <w:sz w:val="20"/>
          <w:szCs w:val="20"/>
          <w:lang w:val="sr-Cyrl-BA" w:eastAsia="en-US"/>
        </w:rPr>
        <w:t>финансијском посреднику</w:t>
      </w:r>
      <w:r w:rsidR="00EE5F06" w:rsidRPr="00EE5F06">
        <w:rPr>
          <w:rFonts w:asciiTheme="minorHAnsi" w:eastAsiaTheme="minorHAnsi" w:hAnsiTheme="minorHAnsi"/>
          <w:color w:val="auto"/>
          <w:sz w:val="20"/>
          <w:szCs w:val="20"/>
          <w:lang w:val="sr-Cyrl-BA" w:eastAsia="en-US"/>
        </w:rPr>
        <w:t>, те стопу изложености у односу на максимално дозвољени износ</w:t>
      </w:r>
      <w:r w:rsidRPr="00EE5F06">
        <w:rPr>
          <w:rFonts w:asciiTheme="minorHAnsi" w:eastAsiaTheme="minorHAnsi" w:hAnsiTheme="minorHAnsi"/>
          <w:color w:val="auto"/>
          <w:sz w:val="20"/>
          <w:szCs w:val="20"/>
          <w:lang w:val="sr-Cyrl-BA" w:eastAsia="en-US"/>
        </w:rPr>
        <w:t>. Највећа је изложеност према Прокредит банци и она на дан 31.12.202</w:t>
      </w:r>
      <w:r w:rsidR="00EE5F06" w:rsidRPr="00EE5F06">
        <w:rPr>
          <w:rFonts w:asciiTheme="minorHAnsi" w:eastAsiaTheme="minorHAnsi" w:hAnsiTheme="minorHAnsi"/>
          <w:color w:val="auto"/>
          <w:sz w:val="20"/>
          <w:szCs w:val="20"/>
          <w:lang w:val="sr-Cyrl-BA" w:eastAsia="en-US"/>
        </w:rPr>
        <w:t>4</w:t>
      </w:r>
      <w:r w:rsidRPr="00EE5F06">
        <w:rPr>
          <w:rFonts w:asciiTheme="minorHAnsi" w:eastAsiaTheme="minorHAnsi" w:hAnsiTheme="minorHAnsi"/>
          <w:color w:val="auto"/>
          <w:sz w:val="20"/>
          <w:szCs w:val="20"/>
          <w:lang w:val="sr-Cyrl-BA" w:eastAsia="en-US"/>
        </w:rPr>
        <w:t xml:space="preserve">. године износи </w:t>
      </w:r>
      <w:r w:rsidR="00EE5F06" w:rsidRPr="00EE5F06">
        <w:rPr>
          <w:rFonts w:ascii="Calibri" w:hAnsi="Calibri"/>
          <w:color w:val="auto"/>
          <w:sz w:val="20"/>
          <w:szCs w:val="20"/>
        </w:rPr>
        <w:t>9.</w:t>
      </w:r>
      <w:r w:rsidR="00DE601E">
        <w:rPr>
          <w:rFonts w:ascii="Calibri" w:hAnsi="Calibri"/>
          <w:color w:val="auto"/>
          <w:sz w:val="20"/>
          <w:szCs w:val="20"/>
          <w:lang w:val="sr-Cyrl-RS"/>
        </w:rPr>
        <w:t>724.294,22</w:t>
      </w:r>
      <w:r w:rsidR="00EE5F06" w:rsidRPr="00EE5F06">
        <w:rPr>
          <w:rFonts w:ascii="Calibri" w:hAnsi="Calibri"/>
          <w:color w:val="auto"/>
          <w:sz w:val="20"/>
          <w:szCs w:val="20"/>
          <w:lang w:val="sr-Cyrl-RS"/>
        </w:rPr>
        <w:t xml:space="preserve"> </w:t>
      </w:r>
      <w:r w:rsidRPr="00EE5F06">
        <w:rPr>
          <w:rFonts w:asciiTheme="minorHAnsi" w:eastAsiaTheme="minorHAnsi" w:hAnsiTheme="minorHAnsi"/>
          <w:color w:val="auto"/>
          <w:sz w:val="20"/>
          <w:szCs w:val="20"/>
          <w:lang w:val="sr-Cyrl-BA" w:eastAsia="en-US"/>
        </w:rPr>
        <w:t>КМ</w:t>
      </w:r>
      <w:r w:rsidRPr="009051D2">
        <w:rPr>
          <w:rFonts w:asciiTheme="minorHAnsi" w:eastAsiaTheme="minorHAnsi" w:hAnsiTheme="minorHAnsi"/>
          <w:color w:val="auto"/>
          <w:sz w:val="20"/>
          <w:szCs w:val="20"/>
          <w:lang w:val="sr-Cyrl-BA" w:eastAsia="en-US"/>
        </w:rPr>
        <w:t>, што представља трећину (</w:t>
      </w:r>
      <w:r w:rsidR="00EE5F06">
        <w:rPr>
          <w:rFonts w:asciiTheme="minorHAnsi" w:eastAsiaTheme="minorHAnsi" w:hAnsiTheme="minorHAnsi"/>
          <w:color w:val="auto"/>
          <w:sz w:val="20"/>
          <w:szCs w:val="20"/>
          <w:lang w:val="sr-Cyrl-BA" w:eastAsia="en-US"/>
        </w:rPr>
        <w:t>34,56</w:t>
      </w:r>
      <w:r w:rsidRPr="009051D2">
        <w:rPr>
          <w:rFonts w:asciiTheme="minorHAnsi" w:eastAsiaTheme="minorHAnsi" w:hAnsiTheme="minorHAnsi"/>
          <w:color w:val="auto"/>
          <w:sz w:val="20"/>
          <w:szCs w:val="20"/>
          <w:lang w:val="sr-Cyrl-BA" w:eastAsia="en-US"/>
        </w:rPr>
        <w:t>%) максимално дозвољене изложености према</w:t>
      </w:r>
      <w:r w:rsidR="006F1C03">
        <w:rPr>
          <w:rFonts w:asciiTheme="minorHAnsi" w:eastAsiaTheme="minorHAnsi" w:hAnsiTheme="minorHAnsi"/>
          <w:color w:val="auto"/>
          <w:sz w:val="20"/>
          <w:szCs w:val="20"/>
          <w:lang w:val="sr-Cyrl-BA" w:eastAsia="en-US"/>
        </w:rPr>
        <w:t xml:space="preserve"> једном финансијском посреднику.</w:t>
      </w:r>
    </w:p>
    <w:p w:rsidR="00CF5C14" w:rsidRPr="00CF5C14" w:rsidRDefault="00CF5C14" w:rsidP="00CF5C14">
      <w:pPr>
        <w:autoSpaceDE w:val="0"/>
        <w:autoSpaceDN w:val="0"/>
        <w:adjustRightInd w:val="0"/>
        <w:rPr>
          <w:rFonts w:asciiTheme="minorHAnsi" w:eastAsiaTheme="minorHAnsi" w:hAnsiTheme="minorHAnsi"/>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6F1C03" w:rsidRDefault="006F1C03" w:rsidP="00EE5F06">
      <w:pPr>
        <w:autoSpaceDE w:val="0"/>
        <w:autoSpaceDN w:val="0"/>
        <w:adjustRightInd w:val="0"/>
        <w:ind w:left="720"/>
        <w:jc w:val="center"/>
        <w:rPr>
          <w:rFonts w:asciiTheme="minorHAnsi" w:eastAsiaTheme="minorHAnsi" w:hAnsiTheme="minorHAnsi"/>
          <w:b/>
          <w:color w:val="auto"/>
          <w:sz w:val="20"/>
          <w:szCs w:val="20"/>
          <w:lang w:val="sr-Cyrl-BA" w:eastAsia="en-US"/>
        </w:rPr>
      </w:pPr>
    </w:p>
    <w:p w:rsidR="009051D2" w:rsidRPr="00EE5F06" w:rsidRDefault="00A944C8" w:rsidP="00EE5F06">
      <w:pPr>
        <w:autoSpaceDE w:val="0"/>
        <w:autoSpaceDN w:val="0"/>
        <w:adjustRightInd w:val="0"/>
        <w:ind w:left="720"/>
        <w:jc w:val="center"/>
        <w:rPr>
          <w:rFonts w:asciiTheme="minorHAnsi" w:eastAsiaTheme="minorHAnsi" w:hAnsiTheme="minorHAnsi"/>
          <w:b/>
          <w:color w:val="auto"/>
          <w:sz w:val="20"/>
          <w:szCs w:val="20"/>
          <w:lang w:val="sr-Cyrl-BA" w:eastAsia="en-US"/>
        </w:rPr>
      </w:pPr>
      <w:r w:rsidRPr="00FF73BD">
        <w:rPr>
          <w:rFonts w:asciiTheme="minorHAnsi" w:eastAsiaTheme="minorHAnsi" w:hAnsiTheme="minorHAnsi"/>
          <w:b/>
          <w:color w:val="auto"/>
          <w:sz w:val="20"/>
          <w:szCs w:val="20"/>
          <w:lang w:val="sr-Cyrl-BA" w:eastAsia="en-US"/>
        </w:rPr>
        <w:t>Преглед  изложености Гарантног фонда Републике Српске  према финансијски</w:t>
      </w:r>
      <w:r w:rsidR="00FF73BD" w:rsidRPr="00FF73BD">
        <w:rPr>
          <w:rFonts w:asciiTheme="minorHAnsi" w:eastAsiaTheme="minorHAnsi" w:hAnsiTheme="minorHAnsi"/>
          <w:b/>
          <w:color w:val="auto"/>
          <w:sz w:val="20"/>
          <w:szCs w:val="20"/>
          <w:lang w:val="sr-Cyrl-BA" w:eastAsia="en-US"/>
        </w:rPr>
        <w:t>м посредницима на дан 31.12.202</w:t>
      </w:r>
      <w:r w:rsidR="00E90D1F">
        <w:rPr>
          <w:rFonts w:asciiTheme="minorHAnsi" w:eastAsiaTheme="minorHAnsi" w:hAnsiTheme="minorHAnsi"/>
          <w:b/>
          <w:color w:val="auto"/>
          <w:sz w:val="20"/>
          <w:szCs w:val="20"/>
          <w:lang w:val="sr-Cyrl-BA" w:eastAsia="en-US"/>
        </w:rPr>
        <w:t>4</w:t>
      </w:r>
      <w:r w:rsidRPr="00FF73BD">
        <w:rPr>
          <w:rFonts w:asciiTheme="minorHAnsi" w:eastAsiaTheme="minorHAnsi" w:hAnsiTheme="minorHAnsi"/>
          <w:b/>
          <w:color w:val="auto"/>
          <w:sz w:val="20"/>
          <w:szCs w:val="20"/>
          <w:lang w:val="sr-Cyrl-BA" w:eastAsia="en-US"/>
        </w:rPr>
        <w:t>.</w:t>
      </w:r>
      <w:r w:rsidR="00FF73BD" w:rsidRPr="00FF73BD">
        <w:rPr>
          <w:rFonts w:asciiTheme="minorHAnsi" w:eastAsiaTheme="minorHAnsi" w:hAnsiTheme="minorHAnsi"/>
          <w:b/>
          <w:color w:val="auto"/>
          <w:sz w:val="20"/>
          <w:szCs w:val="20"/>
          <w:lang w:val="sr-Cyrl-BA" w:eastAsia="en-US"/>
        </w:rPr>
        <w:t xml:space="preserve"> године</w:t>
      </w:r>
      <w:r w:rsidR="00EE5F06">
        <w:rPr>
          <w:rFonts w:asciiTheme="minorHAnsi" w:eastAsiaTheme="minorHAnsi" w:hAnsiTheme="minorHAnsi"/>
          <w:color w:val="auto"/>
          <w:sz w:val="20"/>
          <w:szCs w:val="20"/>
          <w:lang w:val="sr-Cyrl-BA" w:eastAsia="en-US"/>
        </w:rPr>
        <w:tab/>
        <w:t xml:space="preserve">                </w:t>
      </w:r>
    </w:p>
    <w:p w:rsidR="00E90D1F" w:rsidRPr="00EE5F06" w:rsidRDefault="00EE5F06" w:rsidP="00EE5F06">
      <w:pPr>
        <w:autoSpaceDE w:val="0"/>
        <w:autoSpaceDN w:val="0"/>
        <w:adjustRightInd w:val="0"/>
        <w:jc w:val="right"/>
        <w:rPr>
          <w:rFonts w:asciiTheme="minorHAnsi" w:eastAsiaTheme="minorHAnsi" w:hAnsiTheme="minorHAnsi"/>
          <w:b/>
          <w:color w:val="auto"/>
          <w:sz w:val="20"/>
          <w:szCs w:val="20"/>
          <w:lang w:val="sr-Cyrl-BA" w:eastAsia="en-US"/>
        </w:rPr>
      </w:pPr>
      <w:r w:rsidRPr="00EE5F06">
        <w:rPr>
          <w:rFonts w:asciiTheme="minorHAnsi" w:eastAsiaTheme="minorHAnsi" w:hAnsiTheme="minorHAnsi"/>
          <w:b/>
          <w:color w:val="auto"/>
          <w:sz w:val="20"/>
          <w:szCs w:val="20"/>
          <w:lang w:val="sr-Cyrl-BA" w:eastAsia="en-US"/>
        </w:rPr>
        <w:t>Табела 1</w:t>
      </w:r>
      <w:r w:rsidR="0034546F">
        <w:rPr>
          <w:rFonts w:asciiTheme="minorHAnsi" w:eastAsiaTheme="minorHAnsi" w:hAnsiTheme="minorHAnsi"/>
          <w:b/>
          <w:color w:val="auto"/>
          <w:sz w:val="20"/>
          <w:szCs w:val="20"/>
          <w:lang w:val="sr-Cyrl-BA" w:eastAsia="en-US"/>
        </w:rPr>
        <w:t>2</w:t>
      </w:r>
    </w:p>
    <w:tbl>
      <w:tblPr>
        <w:tblW w:w="8931" w:type="dxa"/>
        <w:tblInd w:w="108" w:type="dxa"/>
        <w:tblLook w:val="04A0" w:firstRow="1" w:lastRow="0" w:firstColumn="1" w:lastColumn="0" w:noHBand="0" w:noVBand="1"/>
      </w:tblPr>
      <w:tblGrid>
        <w:gridCol w:w="1843"/>
        <w:gridCol w:w="1651"/>
        <w:gridCol w:w="1360"/>
        <w:gridCol w:w="1476"/>
        <w:gridCol w:w="1271"/>
        <w:gridCol w:w="1330"/>
      </w:tblGrid>
      <w:tr w:rsidR="00F25873" w:rsidRPr="006C4976" w:rsidTr="006C4976">
        <w:trPr>
          <w:trHeight w:val="1380"/>
        </w:trPr>
        <w:tc>
          <w:tcPr>
            <w:tcW w:w="1843"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F25873" w:rsidRPr="00F25873" w:rsidRDefault="00F25873" w:rsidP="00F25873">
            <w:pPr>
              <w:jc w:val="left"/>
              <w:rPr>
                <w:rFonts w:ascii="Calibri" w:hAnsi="Calibri"/>
                <w:b/>
                <w:bCs/>
                <w:color w:val="auto"/>
                <w:sz w:val="16"/>
                <w:szCs w:val="16"/>
              </w:rPr>
            </w:pPr>
            <w:r w:rsidRPr="00F25873">
              <w:rPr>
                <w:rFonts w:ascii="Calibri" w:hAnsi="Calibri"/>
                <w:b/>
                <w:bCs/>
                <w:color w:val="auto"/>
                <w:sz w:val="16"/>
                <w:szCs w:val="16"/>
              </w:rPr>
              <w:t xml:space="preserve">   Финансијски посредник</w:t>
            </w:r>
          </w:p>
        </w:tc>
        <w:tc>
          <w:tcPr>
            <w:tcW w:w="1651" w:type="dxa"/>
            <w:tcBorders>
              <w:top w:val="single" w:sz="4" w:space="0" w:color="auto"/>
              <w:left w:val="nil"/>
              <w:bottom w:val="single" w:sz="4" w:space="0" w:color="auto"/>
              <w:right w:val="single" w:sz="4" w:space="0" w:color="auto"/>
            </w:tcBorders>
            <w:shd w:val="clear" w:color="000000" w:fill="8DB4E2"/>
            <w:vAlign w:val="center"/>
            <w:hideMark/>
          </w:tcPr>
          <w:p w:rsidR="00F25873" w:rsidRPr="00F25873" w:rsidRDefault="00F25873" w:rsidP="00F25873">
            <w:pPr>
              <w:jc w:val="center"/>
              <w:rPr>
                <w:rFonts w:ascii="Calibri" w:hAnsi="Calibri"/>
                <w:b/>
                <w:bCs/>
                <w:color w:val="auto"/>
                <w:sz w:val="16"/>
                <w:szCs w:val="16"/>
              </w:rPr>
            </w:pPr>
            <w:r w:rsidRPr="00F25873">
              <w:rPr>
                <w:rFonts w:ascii="Calibri" w:hAnsi="Calibri"/>
                <w:b/>
                <w:bCs/>
                <w:color w:val="auto"/>
                <w:sz w:val="16"/>
                <w:szCs w:val="16"/>
              </w:rPr>
              <w:t>Стање појединачних гаранција на дан 31.12.2024.</w:t>
            </w:r>
          </w:p>
        </w:tc>
        <w:tc>
          <w:tcPr>
            <w:tcW w:w="1360" w:type="dxa"/>
            <w:tcBorders>
              <w:top w:val="single" w:sz="4" w:space="0" w:color="auto"/>
              <w:left w:val="nil"/>
              <w:bottom w:val="single" w:sz="4" w:space="0" w:color="auto"/>
              <w:right w:val="single" w:sz="4" w:space="0" w:color="auto"/>
            </w:tcBorders>
            <w:shd w:val="clear" w:color="000000" w:fill="8DB4E2"/>
            <w:vAlign w:val="center"/>
            <w:hideMark/>
          </w:tcPr>
          <w:p w:rsidR="00F25873" w:rsidRPr="00F25873" w:rsidRDefault="00F25873" w:rsidP="00724D24">
            <w:pPr>
              <w:jc w:val="center"/>
              <w:rPr>
                <w:rFonts w:ascii="Calibri" w:hAnsi="Calibri"/>
                <w:b/>
                <w:bCs/>
                <w:color w:val="auto"/>
                <w:sz w:val="16"/>
                <w:szCs w:val="16"/>
              </w:rPr>
            </w:pPr>
            <w:r w:rsidRPr="00F25873">
              <w:rPr>
                <w:rFonts w:ascii="Calibri" w:hAnsi="Calibri"/>
                <w:b/>
                <w:bCs/>
                <w:color w:val="auto"/>
                <w:sz w:val="16"/>
                <w:szCs w:val="16"/>
              </w:rPr>
              <w:t>Стање гаранција из кредитног портфеља на дан 31.12.2024.</w:t>
            </w:r>
          </w:p>
        </w:tc>
        <w:tc>
          <w:tcPr>
            <w:tcW w:w="1476" w:type="dxa"/>
            <w:tcBorders>
              <w:top w:val="single" w:sz="4" w:space="0" w:color="auto"/>
              <w:left w:val="nil"/>
              <w:bottom w:val="single" w:sz="4" w:space="0" w:color="auto"/>
              <w:right w:val="single" w:sz="4" w:space="0" w:color="auto"/>
            </w:tcBorders>
            <w:shd w:val="clear" w:color="000000" w:fill="8DB4E2"/>
            <w:vAlign w:val="center"/>
            <w:hideMark/>
          </w:tcPr>
          <w:p w:rsidR="00F25873" w:rsidRPr="00F25873" w:rsidRDefault="00F25873" w:rsidP="00F25873">
            <w:pPr>
              <w:jc w:val="center"/>
              <w:rPr>
                <w:rFonts w:ascii="Calibri" w:hAnsi="Calibri"/>
                <w:b/>
                <w:bCs/>
                <w:color w:val="auto"/>
                <w:sz w:val="16"/>
                <w:szCs w:val="16"/>
              </w:rPr>
            </w:pPr>
            <w:r w:rsidRPr="00F25873">
              <w:rPr>
                <w:rFonts w:ascii="Calibri" w:hAnsi="Calibri"/>
                <w:b/>
                <w:bCs/>
                <w:color w:val="auto"/>
                <w:sz w:val="16"/>
                <w:szCs w:val="16"/>
              </w:rPr>
              <w:t>Стање гаранција на хартије од вриједности на дан 31.12.2024. године</w:t>
            </w:r>
          </w:p>
        </w:tc>
        <w:tc>
          <w:tcPr>
            <w:tcW w:w="1271" w:type="dxa"/>
            <w:tcBorders>
              <w:top w:val="single" w:sz="4" w:space="0" w:color="auto"/>
              <w:left w:val="nil"/>
              <w:bottom w:val="single" w:sz="4" w:space="0" w:color="auto"/>
              <w:right w:val="single" w:sz="4" w:space="0" w:color="auto"/>
            </w:tcBorders>
            <w:shd w:val="clear" w:color="000000" w:fill="8DB4E2"/>
            <w:vAlign w:val="center"/>
            <w:hideMark/>
          </w:tcPr>
          <w:p w:rsidR="00F25873" w:rsidRPr="00F25873" w:rsidRDefault="00F25873" w:rsidP="00F25873">
            <w:pPr>
              <w:jc w:val="center"/>
              <w:rPr>
                <w:rFonts w:ascii="Calibri" w:hAnsi="Calibri"/>
                <w:b/>
                <w:bCs/>
                <w:color w:val="auto"/>
                <w:sz w:val="16"/>
                <w:szCs w:val="16"/>
              </w:rPr>
            </w:pPr>
            <w:r w:rsidRPr="00F25873">
              <w:rPr>
                <w:rFonts w:ascii="Calibri" w:hAnsi="Calibri"/>
                <w:b/>
                <w:bCs/>
                <w:color w:val="auto"/>
                <w:sz w:val="16"/>
                <w:szCs w:val="16"/>
              </w:rPr>
              <w:t xml:space="preserve">Укупна изложеност према финансијском посреднику </w:t>
            </w:r>
          </w:p>
        </w:tc>
        <w:tc>
          <w:tcPr>
            <w:tcW w:w="1330" w:type="dxa"/>
            <w:tcBorders>
              <w:top w:val="single" w:sz="4" w:space="0" w:color="auto"/>
              <w:left w:val="nil"/>
              <w:bottom w:val="single" w:sz="4" w:space="0" w:color="auto"/>
              <w:right w:val="single" w:sz="4" w:space="0" w:color="auto"/>
            </w:tcBorders>
            <w:shd w:val="clear" w:color="000000" w:fill="8DB4E2"/>
            <w:vAlign w:val="center"/>
            <w:hideMark/>
          </w:tcPr>
          <w:p w:rsidR="00F25873" w:rsidRPr="00F25873" w:rsidRDefault="00F25873" w:rsidP="00F25873">
            <w:pPr>
              <w:jc w:val="left"/>
              <w:rPr>
                <w:rFonts w:ascii="Calibri" w:hAnsi="Calibri"/>
                <w:b/>
                <w:bCs/>
                <w:color w:val="auto"/>
                <w:sz w:val="16"/>
                <w:szCs w:val="16"/>
              </w:rPr>
            </w:pPr>
            <w:r w:rsidRPr="00F25873">
              <w:rPr>
                <w:rFonts w:ascii="Calibri" w:hAnsi="Calibri"/>
                <w:b/>
                <w:bCs/>
                <w:color w:val="auto"/>
                <w:sz w:val="16"/>
                <w:szCs w:val="16"/>
              </w:rPr>
              <w:t>Стопа изложености у односу на максимално дозвољену изложеност (30% гарантног потенцијала или 27.000.000,00 КМ)</w:t>
            </w:r>
          </w:p>
        </w:tc>
      </w:tr>
      <w:tr w:rsidR="006C4976" w:rsidRPr="00F25873" w:rsidTr="006C4976">
        <w:trPr>
          <w:trHeight w:val="57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Procredit bank d.d. Bosna i Hercegovina  </w:t>
            </w:r>
          </w:p>
        </w:tc>
        <w:tc>
          <w:tcPr>
            <w:tcW w:w="165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lang w:val="sr-Cyrl-RS"/>
              </w:rPr>
              <w:t>2.226.005,84</w:t>
            </w:r>
          </w:p>
        </w:tc>
        <w:tc>
          <w:tcPr>
            <w:tcW w:w="1360"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sz w:val="16"/>
                <w:szCs w:val="16"/>
              </w:rPr>
            </w:pPr>
            <w:r w:rsidRPr="00F25873">
              <w:rPr>
                <w:rFonts w:ascii="Calibri" w:hAnsi="Calibri"/>
                <w:sz w:val="16"/>
                <w:szCs w:val="16"/>
              </w:rPr>
              <w:t>7.498.288,38</w:t>
            </w:r>
          </w:p>
        </w:tc>
        <w:tc>
          <w:tcPr>
            <w:tcW w:w="1476"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9.724.294,22</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36,02%</w:t>
            </w:r>
          </w:p>
        </w:tc>
      </w:tr>
      <w:tr w:rsidR="006C4976" w:rsidRPr="00F25873" w:rsidTr="006C4976">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МФ банка а.д. Бања Лука  </w:t>
            </w:r>
          </w:p>
        </w:tc>
        <w:tc>
          <w:tcPr>
            <w:tcW w:w="1651" w:type="dxa"/>
            <w:tcBorders>
              <w:top w:val="nil"/>
              <w:left w:val="nil"/>
              <w:bottom w:val="single" w:sz="8" w:space="0" w:color="auto"/>
              <w:right w:val="single" w:sz="8"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lang w:val="sr-Cyrl-RS"/>
              </w:rPr>
              <w:t>4.928.478,82</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sz w:val="16"/>
                <w:szCs w:val="16"/>
              </w:rPr>
            </w:pPr>
            <w:r w:rsidRPr="00F25873">
              <w:rPr>
                <w:rFonts w:ascii="Calibri" w:hAnsi="Calibri"/>
                <w:sz w:val="16"/>
                <w:szCs w:val="16"/>
              </w:rPr>
              <w:t>343.182,44</w:t>
            </w:r>
          </w:p>
        </w:tc>
        <w:tc>
          <w:tcPr>
            <w:tcW w:w="1476"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5.271.661,26</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19,52%</w:t>
            </w:r>
          </w:p>
        </w:tc>
      </w:tr>
      <w:tr w:rsidR="006C4976" w:rsidRPr="00F25873" w:rsidTr="006C4976">
        <w:trPr>
          <w:trHeight w:val="48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Unicredit bank a.d. Banja Luka</w:t>
            </w:r>
          </w:p>
        </w:tc>
        <w:tc>
          <w:tcPr>
            <w:tcW w:w="1651" w:type="dxa"/>
            <w:tcBorders>
              <w:top w:val="single" w:sz="4" w:space="0" w:color="auto"/>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506.999,13</w:t>
            </w:r>
          </w:p>
        </w:tc>
        <w:tc>
          <w:tcPr>
            <w:tcW w:w="1360"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sz w:val="16"/>
                <w:szCs w:val="16"/>
              </w:rPr>
            </w:pPr>
            <w:r w:rsidRPr="00F25873">
              <w:rPr>
                <w:rFonts w:ascii="Calibri" w:hAnsi="Calibri"/>
                <w:sz w:val="16"/>
                <w:szCs w:val="16"/>
              </w:rPr>
              <w:t>2.830.608,42</w:t>
            </w:r>
          </w:p>
        </w:tc>
        <w:tc>
          <w:tcPr>
            <w:tcW w:w="1476"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3.337.607,55</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12,36%</w:t>
            </w:r>
          </w:p>
        </w:tc>
      </w:tr>
      <w:tr w:rsidR="006C4976" w:rsidRPr="00F25873" w:rsidTr="006C4976">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Нова банка а.д. Бања Лука </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2.180.521,53</w:t>
            </w:r>
          </w:p>
        </w:tc>
        <w:tc>
          <w:tcPr>
            <w:tcW w:w="1360" w:type="dxa"/>
            <w:tcBorders>
              <w:top w:val="nil"/>
              <w:left w:val="nil"/>
              <w:bottom w:val="single" w:sz="4" w:space="0" w:color="auto"/>
              <w:right w:val="single" w:sz="4" w:space="0" w:color="auto"/>
            </w:tcBorders>
            <w:shd w:val="clear" w:color="auto" w:fill="auto"/>
            <w:noWrap/>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2.180.521,53</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8,08%</w:t>
            </w:r>
          </w:p>
        </w:tc>
      </w:tr>
      <w:tr w:rsidR="006C4976" w:rsidRPr="00F25873" w:rsidTr="006C4976">
        <w:trPr>
          <w:trHeight w:val="48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Централни регистар хартија од вриједности а.д. Бања Лука</w:t>
            </w:r>
          </w:p>
        </w:tc>
        <w:tc>
          <w:tcPr>
            <w:tcW w:w="1651" w:type="dxa"/>
            <w:tcBorders>
              <w:top w:val="nil"/>
              <w:left w:val="nil"/>
              <w:bottom w:val="single" w:sz="4" w:space="0" w:color="auto"/>
              <w:right w:val="single" w:sz="4" w:space="0" w:color="auto"/>
            </w:tcBorders>
            <w:shd w:val="clear" w:color="auto" w:fill="auto"/>
            <w:noWrap/>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sz w:val="16"/>
                <w:szCs w:val="16"/>
              </w:rPr>
            </w:pPr>
            <w:r w:rsidRPr="00F25873">
              <w:rPr>
                <w:rFonts w:ascii="Calibri" w:hAnsi="Calibri"/>
                <w:sz w:val="16"/>
                <w:szCs w:val="16"/>
              </w:rPr>
              <w:t>2.110.707,10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2.110.707,10</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7,82%</w:t>
            </w:r>
          </w:p>
        </w:tc>
      </w:tr>
      <w:tr w:rsidR="006C4976" w:rsidRPr="00F25873" w:rsidTr="006F1C03">
        <w:trPr>
          <w:trHeight w:val="443"/>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Sparkasse bank d.d. Bosna i Hercegovina  </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691.742,92</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691.742,92</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2,56%</w:t>
            </w:r>
          </w:p>
        </w:tc>
      </w:tr>
      <w:tr w:rsidR="00F25873" w:rsidRPr="006C4976" w:rsidTr="006C4976">
        <w:trPr>
          <w:trHeight w:val="54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Фонд за развој и запошљавање РС а.д. Бања Лука</w:t>
            </w:r>
          </w:p>
        </w:tc>
        <w:tc>
          <w:tcPr>
            <w:tcW w:w="165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638.991,41</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638.991,41</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2,37%</w:t>
            </w:r>
          </w:p>
        </w:tc>
      </w:tr>
      <w:tr w:rsidR="006C4976" w:rsidRPr="00F25873" w:rsidTr="006C4976">
        <w:trPr>
          <w:trHeight w:val="465"/>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Банка поштанска штедионица а.д. Бања Лука  </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444.951,57</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444.951,57</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1,65%</w:t>
            </w:r>
          </w:p>
        </w:tc>
      </w:tr>
      <w:tr w:rsidR="006C4976" w:rsidRPr="00F25873" w:rsidTr="006C4976">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Атос банк а.д. Бања Лука  </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291.463,98</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291.463,98</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1,08%</w:t>
            </w:r>
          </w:p>
        </w:tc>
      </w:tr>
      <w:tr w:rsidR="006C4976" w:rsidRPr="00F25873" w:rsidTr="006C4976">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Наша банка а.д. Бијељина</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49.702,33</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49.702,33</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0,18%</w:t>
            </w:r>
          </w:p>
        </w:tc>
      </w:tr>
      <w:tr w:rsidR="006C4976" w:rsidRPr="00F25873" w:rsidTr="006C4976">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НЛБ банка а.д. Бања Лука</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41.420,40</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41.420,40</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0,15%</w:t>
            </w:r>
          </w:p>
        </w:tc>
      </w:tr>
      <w:tr w:rsidR="006C4976" w:rsidRPr="00F25873" w:rsidTr="006C4976">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 xml:space="preserve">Ziraat Bank Bosnia д.д. Сарајево  </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41.797,04</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41.797,04</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0,15%</w:t>
            </w:r>
          </w:p>
        </w:tc>
      </w:tr>
      <w:tr w:rsidR="006C4976" w:rsidRPr="00F25873" w:rsidTr="006C4976">
        <w:trPr>
          <w:trHeight w:val="315"/>
        </w:trPr>
        <w:tc>
          <w:tcPr>
            <w:tcW w:w="1843" w:type="dxa"/>
            <w:tcBorders>
              <w:top w:val="nil"/>
              <w:left w:val="single" w:sz="4" w:space="0" w:color="auto"/>
              <w:bottom w:val="single" w:sz="4" w:space="0" w:color="auto"/>
              <w:right w:val="single" w:sz="4" w:space="0" w:color="auto"/>
            </w:tcBorders>
            <w:shd w:val="clear" w:color="000000" w:fill="FFFFFF"/>
            <w:hideMark/>
          </w:tcPr>
          <w:p w:rsidR="00F25873" w:rsidRPr="00F25873" w:rsidRDefault="00F25873" w:rsidP="00F25873">
            <w:pPr>
              <w:jc w:val="left"/>
              <w:rPr>
                <w:rFonts w:ascii="Calibri" w:hAnsi="Calibri"/>
                <w:color w:val="auto"/>
                <w:sz w:val="16"/>
                <w:szCs w:val="16"/>
              </w:rPr>
            </w:pPr>
            <w:r w:rsidRPr="00F25873">
              <w:rPr>
                <w:rFonts w:ascii="Calibri" w:hAnsi="Calibri"/>
                <w:color w:val="auto"/>
                <w:sz w:val="16"/>
                <w:szCs w:val="16"/>
              </w:rPr>
              <w:t>МКД Таурус д.о.о. Бања Лука</w:t>
            </w:r>
          </w:p>
        </w:tc>
        <w:tc>
          <w:tcPr>
            <w:tcW w:w="1651" w:type="dxa"/>
            <w:tcBorders>
              <w:top w:val="nil"/>
              <w:left w:val="nil"/>
              <w:bottom w:val="single" w:sz="4" w:space="0" w:color="auto"/>
              <w:right w:val="single" w:sz="4" w:space="0" w:color="auto"/>
            </w:tcBorders>
            <w:shd w:val="clear" w:color="auto" w:fill="auto"/>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0,00</w:t>
            </w:r>
          </w:p>
        </w:tc>
        <w:tc>
          <w:tcPr>
            <w:tcW w:w="136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12.184,97</w:t>
            </w:r>
          </w:p>
        </w:tc>
        <w:tc>
          <w:tcPr>
            <w:tcW w:w="1476"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 </w:t>
            </w:r>
          </w:p>
        </w:tc>
        <w:tc>
          <w:tcPr>
            <w:tcW w:w="1271"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right"/>
              <w:rPr>
                <w:rFonts w:ascii="Calibri" w:hAnsi="Calibri"/>
                <w:color w:val="auto"/>
                <w:sz w:val="16"/>
                <w:szCs w:val="16"/>
              </w:rPr>
            </w:pPr>
            <w:r w:rsidRPr="00F25873">
              <w:rPr>
                <w:rFonts w:ascii="Calibri" w:hAnsi="Calibri"/>
                <w:color w:val="auto"/>
                <w:sz w:val="16"/>
                <w:szCs w:val="16"/>
              </w:rPr>
              <w:t>12.184,97</w:t>
            </w:r>
          </w:p>
        </w:tc>
        <w:tc>
          <w:tcPr>
            <w:tcW w:w="1330" w:type="dxa"/>
            <w:tcBorders>
              <w:top w:val="nil"/>
              <w:left w:val="nil"/>
              <w:bottom w:val="single" w:sz="4" w:space="0" w:color="auto"/>
              <w:right w:val="single" w:sz="4" w:space="0" w:color="auto"/>
            </w:tcBorders>
            <w:shd w:val="clear" w:color="000000" w:fill="FFFFFF"/>
            <w:vAlign w:val="center"/>
            <w:hideMark/>
          </w:tcPr>
          <w:p w:rsidR="00F25873" w:rsidRPr="00F25873" w:rsidRDefault="00F25873" w:rsidP="00F25873">
            <w:pPr>
              <w:jc w:val="center"/>
              <w:rPr>
                <w:rFonts w:ascii="Calibri" w:hAnsi="Calibri"/>
                <w:color w:val="auto"/>
                <w:sz w:val="16"/>
                <w:szCs w:val="16"/>
              </w:rPr>
            </w:pPr>
            <w:r w:rsidRPr="00F25873">
              <w:rPr>
                <w:rFonts w:ascii="Calibri" w:hAnsi="Calibri"/>
                <w:color w:val="auto"/>
                <w:sz w:val="16"/>
                <w:szCs w:val="16"/>
              </w:rPr>
              <w:t>0,05%</w:t>
            </w:r>
          </w:p>
        </w:tc>
      </w:tr>
      <w:tr w:rsidR="00F25873" w:rsidRPr="006C4976" w:rsidTr="006C4976">
        <w:trPr>
          <w:trHeight w:val="315"/>
        </w:trPr>
        <w:tc>
          <w:tcPr>
            <w:tcW w:w="1843" w:type="dxa"/>
            <w:tcBorders>
              <w:top w:val="nil"/>
              <w:left w:val="single" w:sz="4" w:space="0" w:color="auto"/>
              <w:bottom w:val="single" w:sz="4" w:space="0" w:color="auto"/>
              <w:right w:val="single" w:sz="4" w:space="0" w:color="auto"/>
            </w:tcBorders>
            <w:shd w:val="clear" w:color="000000" w:fill="8DB4E2"/>
            <w:vAlign w:val="center"/>
            <w:hideMark/>
          </w:tcPr>
          <w:p w:rsidR="00F25873" w:rsidRPr="00F25873" w:rsidRDefault="00F25873" w:rsidP="00F25873">
            <w:pPr>
              <w:jc w:val="center"/>
              <w:rPr>
                <w:rFonts w:ascii="Calibri" w:hAnsi="Calibri"/>
                <w:b/>
                <w:bCs/>
                <w:color w:val="auto"/>
                <w:sz w:val="16"/>
                <w:szCs w:val="16"/>
              </w:rPr>
            </w:pPr>
            <w:r w:rsidRPr="00F25873">
              <w:rPr>
                <w:rFonts w:ascii="Calibri" w:hAnsi="Calibri"/>
                <w:b/>
                <w:bCs/>
                <w:color w:val="auto"/>
                <w:sz w:val="16"/>
                <w:szCs w:val="16"/>
              </w:rPr>
              <w:t>УКУПНО</w:t>
            </w:r>
          </w:p>
        </w:tc>
        <w:tc>
          <w:tcPr>
            <w:tcW w:w="1651" w:type="dxa"/>
            <w:tcBorders>
              <w:top w:val="nil"/>
              <w:left w:val="nil"/>
              <w:bottom w:val="single" w:sz="4" w:space="0" w:color="auto"/>
              <w:right w:val="single" w:sz="4" w:space="0" w:color="auto"/>
            </w:tcBorders>
            <w:shd w:val="clear" w:color="000000" w:fill="8DB4E2"/>
            <w:vAlign w:val="center"/>
            <w:hideMark/>
          </w:tcPr>
          <w:p w:rsidR="00F25873" w:rsidRPr="00F25873" w:rsidRDefault="00F25873" w:rsidP="00F25873">
            <w:pPr>
              <w:jc w:val="right"/>
              <w:rPr>
                <w:rFonts w:ascii="Calibri" w:hAnsi="Calibri"/>
                <w:b/>
                <w:bCs/>
                <w:color w:val="auto"/>
                <w:sz w:val="16"/>
                <w:szCs w:val="16"/>
              </w:rPr>
            </w:pPr>
            <w:r w:rsidRPr="00F25873">
              <w:rPr>
                <w:rFonts w:ascii="Calibri" w:hAnsi="Calibri"/>
                <w:b/>
                <w:bCs/>
                <w:color w:val="auto"/>
                <w:sz w:val="16"/>
                <w:szCs w:val="16"/>
              </w:rPr>
              <w:t>11.350.332,05</w:t>
            </w:r>
          </w:p>
        </w:tc>
        <w:tc>
          <w:tcPr>
            <w:tcW w:w="1360" w:type="dxa"/>
            <w:tcBorders>
              <w:top w:val="nil"/>
              <w:left w:val="nil"/>
              <w:bottom w:val="single" w:sz="4" w:space="0" w:color="auto"/>
              <w:right w:val="single" w:sz="4" w:space="0" w:color="auto"/>
            </w:tcBorders>
            <w:shd w:val="clear" w:color="000000" w:fill="8DB4E2"/>
            <w:vAlign w:val="center"/>
            <w:hideMark/>
          </w:tcPr>
          <w:p w:rsidR="00F25873" w:rsidRPr="00F25873" w:rsidRDefault="00F25873" w:rsidP="00F25873">
            <w:pPr>
              <w:jc w:val="right"/>
              <w:rPr>
                <w:rFonts w:ascii="Calibri" w:hAnsi="Calibri"/>
                <w:b/>
                <w:bCs/>
                <w:color w:val="auto"/>
                <w:sz w:val="16"/>
                <w:szCs w:val="16"/>
              </w:rPr>
            </w:pPr>
            <w:r w:rsidRPr="00F25873">
              <w:rPr>
                <w:rFonts w:ascii="Calibri" w:hAnsi="Calibri"/>
                <w:b/>
                <w:bCs/>
                <w:color w:val="auto"/>
                <w:sz w:val="16"/>
                <w:szCs w:val="16"/>
              </w:rPr>
              <w:t>11.376.007,13</w:t>
            </w:r>
          </w:p>
        </w:tc>
        <w:tc>
          <w:tcPr>
            <w:tcW w:w="1476" w:type="dxa"/>
            <w:tcBorders>
              <w:top w:val="nil"/>
              <w:left w:val="nil"/>
              <w:bottom w:val="single" w:sz="4" w:space="0" w:color="auto"/>
              <w:right w:val="single" w:sz="4" w:space="0" w:color="auto"/>
            </w:tcBorders>
            <w:shd w:val="clear" w:color="000000" w:fill="8DB4E2"/>
            <w:vAlign w:val="center"/>
            <w:hideMark/>
          </w:tcPr>
          <w:p w:rsidR="00F25873" w:rsidRPr="00F25873" w:rsidRDefault="00F25873" w:rsidP="00F25873">
            <w:pPr>
              <w:jc w:val="right"/>
              <w:rPr>
                <w:rFonts w:ascii="Calibri" w:hAnsi="Calibri"/>
                <w:b/>
                <w:bCs/>
                <w:color w:val="auto"/>
                <w:sz w:val="16"/>
                <w:szCs w:val="16"/>
              </w:rPr>
            </w:pPr>
            <w:r w:rsidRPr="00F25873">
              <w:rPr>
                <w:rFonts w:ascii="Calibri" w:hAnsi="Calibri"/>
                <w:b/>
                <w:bCs/>
                <w:color w:val="auto"/>
                <w:sz w:val="16"/>
                <w:szCs w:val="16"/>
              </w:rPr>
              <w:t>2.110.707,10</w:t>
            </w:r>
          </w:p>
        </w:tc>
        <w:tc>
          <w:tcPr>
            <w:tcW w:w="1271" w:type="dxa"/>
            <w:tcBorders>
              <w:top w:val="nil"/>
              <w:left w:val="nil"/>
              <w:bottom w:val="single" w:sz="4" w:space="0" w:color="auto"/>
              <w:right w:val="single" w:sz="4" w:space="0" w:color="auto"/>
            </w:tcBorders>
            <w:shd w:val="clear" w:color="000000" w:fill="8DB4E2"/>
            <w:vAlign w:val="center"/>
            <w:hideMark/>
          </w:tcPr>
          <w:p w:rsidR="00F25873" w:rsidRPr="00F25873" w:rsidRDefault="00F25873" w:rsidP="00F25873">
            <w:pPr>
              <w:jc w:val="right"/>
              <w:rPr>
                <w:rFonts w:ascii="Calibri" w:hAnsi="Calibri"/>
                <w:b/>
                <w:bCs/>
                <w:color w:val="auto"/>
                <w:sz w:val="16"/>
                <w:szCs w:val="16"/>
              </w:rPr>
            </w:pPr>
            <w:r w:rsidRPr="00F25873">
              <w:rPr>
                <w:rFonts w:ascii="Calibri" w:hAnsi="Calibri"/>
                <w:b/>
                <w:bCs/>
                <w:color w:val="auto"/>
                <w:sz w:val="16"/>
                <w:szCs w:val="16"/>
              </w:rPr>
              <w:t>24.837.046,28</w:t>
            </w:r>
          </w:p>
        </w:tc>
        <w:tc>
          <w:tcPr>
            <w:tcW w:w="1330" w:type="dxa"/>
            <w:tcBorders>
              <w:top w:val="nil"/>
              <w:left w:val="nil"/>
              <w:bottom w:val="single" w:sz="4" w:space="0" w:color="auto"/>
              <w:right w:val="single" w:sz="4" w:space="0" w:color="auto"/>
            </w:tcBorders>
            <w:shd w:val="clear" w:color="000000" w:fill="8DB4E2"/>
            <w:vAlign w:val="center"/>
            <w:hideMark/>
          </w:tcPr>
          <w:p w:rsidR="00F25873" w:rsidRPr="00F25873" w:rsidRDefault="00F25873" w:rsidP="00F25873">
            <w:pPr>
              <w:jc w:val="center"/>
              <w:rPr>
                <w:rFonts w:ascii="Calibri" w:hAnsi="Calibri"/>
                <w:b/>
                <w:bCs/>
                <w:color w:val="auto"/>
                <w:sz w:val="16"/>
                <w:szCs w:val="16"/>
              </w:rPr>
            </w:pPr>
            <w:r w:rsidRPr="00F25873">
              <w:rPr>
                <w:rFonts w:ascii="Calibri" w:hAnsi="Calibri"/>
                <w:b/>
                <w:bCs/>
                <w:color w:val="auto"/>
                <w:sz w:val="16"/>
                <w:szCs w:val="16"/>
              </w:rPr>
              <w:t> </w:t>
            </w:r>
          </w:p>
        </w:tc>
      </w:tr>
    </w:tbl>
    <w:p w:rsidR="007E2AAA" w:rsidRDefault="007E2AAA" w:rsidP="00A944C8">
      <w:pPr>
        <w:autoSpaceDE w:val="0"/>
        <w:autoSpaceDN w:val="0"/>
        <w:adjustRightInd w:val="0"/>
        <w:rPr>
          <w:rFonts w:asciiTheme="minorHAnsi" w:eastAsiaTheme="minorHAnsi" w:hAnsiTheme="minorHAnsi"/>
          <w:color w:val="auto"/>
          <w:sz w:val="20"/>
          <w:szCs w:val="20"/>
          <w:lang w:val="sr-Cyrl-BA" w:eastAsia="en-US"/>
        </w:rPr>
      </w:pPr>
    </w:p>
    <w:p w:rsidR="00DA21E9" w:rsidRDefault="00881C61" w:rsidP="00A944C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 xml:space="preserve">Потенцијална </w:t>
      </w:r>
      <w:r w:rsidR="00017AE1">
        <w:rPr>
          <w:rFonts w:asciiTheme="minorHAnsi" w:eastAsiaTheme="minorHAnsi" w:hAnsiTheme="minorHAnsi"/>
          <w:color w:val="auto"/>
          <w:sz w:val="20"/>
          <w:szCs w:val="20"/>
          <w:lang w:val="sr-Cyrl-BA" w:eastAsia="en-US"/>
        </w:rPr>
        <w:t>обавеза Гара</w:t>
      </w:r>
      <w:r w:rsidRPr="00881C61">
        <w:rPr>
          <w:rFonts w:asciiTheme="minorHAnsi" w:eastAsiaTheme="minorHAnsi" w:hAnsiTheme="minorHAnsi"/>
          <w:color w:val="auto"/>
          <w:sz w:val="20"/>
          <w:szCs w:val="20"/>
          <w:lang w:val="sr-Cyrl-BA" w:eastAsia="en-US"/>
        </w:rPr>
        <w:t>нт</w:t>
      </w:r>
      <w:r w:rsidR="00017AE1">
        <w:rPr>
          <w:rFonts w:asciiTheme="minorHAnsi" w:eastAsiaTheme="minorHAnsi" w:hAnsiTheme="minorHAnsi"/>
          <w:color w:val="auto"/>
          <w:sz w:val="20"/>
          <w:szCs w:val="20"/>
          <w:lang w:val="sr-Cyrl-BA" w:eastAsia="en-US"/>
        </w:rPr>
        <w:t>н</w:t>
      </w:r>
      <w:r w:rsidRPr="00881C61">
        <w:rPr>
          <w:rFonts w:asciiTheme="minorHAnsi" w:eastAsiaTheme="minorHAnsi" w:hAnsiTheme="minorHAnsi"/>
          <w:color w:val="auto"/>
          <w:sz w:val="20"/>
          <w:szCs w:val="20"/>
          <w:lang w:val="sr-Cyrl-BA" w:eastAsia="en-US"/>
        </w:rPr>
        <w:t>ог ф</w:t>
      </w:r>
      <w:r w:rsidR="00CA6C43" w:rsidRPr="00881C61">
        <w:rPr>
          <w:rFonts w:asciiTheme="minorHAnsi" w:eastAsiaTheme="minorHAnsi" w:hAnsiTheme="minorHAnsi"/>
          <w:color w:val="auto"/>
          <w:sz w:val="20"/>
          <w:szCs w:val="20"/>
          <w:lang w:val="sr-Cyrl-BA" w:eastAsia="en-US"/>
        </w:rPr>
        <w:t xml:space="preserve">онда на </w:t>
      </w:r>
      <w:r w:rsidR="00CF5C14" w:rsidRPr="00881C61">
        <w:rPr>
          <w:rFonts w:asciiTheme="minorHAnsi" w:eastAsiaTheme="minorHAnsi" w:hAnsiTheme="minorHAnsi"/>
          <w:color w:val="auto"/>
          <w:sz w:val="20"/>
          <w:szCs w:val="20"/>
          <w:lang w:val="sr-Cyrl-BA" w:eastAsia="en-US"/>
        </w:rPr>
        <w:t>дан 31.12.202</w:t>
      </w:r>
      <w:r w:rsidRPr="00881C61">
        <w:rPr>
          <w:rFonts w:asciiTheme="minorHAnsi" w:eastAsiaTheme="minorHAnsi" w:hAnsiTheme="minorHAnsi"/>
          <w:color w:val="auto"/>
          <w:sz w:val="20"/>
          <w:szCs w:val="20"/>
          <w:lang w:val="sr-Cyrl-BA" w:eastAsia="en-US"/>
        </w:rPr>
        <w:t>4</w:t>
      </w:r>
      <w:r w:rsidR="00CF5C14" w:rsidRPr="00881C61">
        <w:rPr>
          <w:rFonts w:asciiTheme="minorHAnsi" w:eastAsiaTheme="minorHAnsi" w:hAnsiTheme="minorHAnsi"/>
          <w:color w:val="auto"/>
          <w:sz w:val="20"/>
          <w:szCs w:val="20"/>
          <w:lang w:val="sr-Cyrl-BA" w:eastAsia="en-US"/>
        </w:rPr>
        <w:t>. године</w:t>
      </w:r>
      <w:r w:rsidRPr="00881C61">
        <w:rPr>
          <w:rFonts w:asciiTheme="minorHAnsi" w:eastAsiaTheme="minorHAnsi" w:hAnsiTheme="minorHAnsi"/>
          <w:color w:val="auto"/>
          <w:sz w:val="20"/>
          <w:szCs w:val="20"/>
          <w:lang w:val="sr-Cyrl-BA" w:eastAsia="en-US"/>
        </w:rPr>
        <w:t xml:space="preserve"> </w:t>
      </w:r>
      <w:r w:rsidR="00CA6C43" w:rsidRPr="00881C61">
        <w:rPr>
          <w:rFonts w:asciiTheme="minorHAnsi" w:eastAsiaTheme="minorHAnsi" w:hAnsiTheme="minorHAnsi"/>
          <w:color w:val="auto"/>
          <w:sz w:val="20"/>
          <w:szCs w:val="20"/>
          <w:lang w:val="sr-Cyrl-BA" w:eastAsia="en-US"/>
        </w:rPr>
        <w:t xml:space="preserve">износи </w:t>
      </w:r>
      <w:r w:rsidR="006C4976" w:rsidRPr="00724D24">
        <w:rPr>
          <w:rFonts w:asciiTheme="minorHAnsi" w:eastAsiaTheme="minorHAnsi" w:hAnsiTheme="minorHAnsi"/>
          <w:b/>
          <w:color w:val="auto"/>
          <w:sz w:val="20"/>
          <w:szCs w:val="20"/>
          <w:lang w:val="sr-Cyrl-BA" w:eastAsia="en-US"/>
        </w:rPr>
        <w:t>24.837.046,28</w:t>
      </w:r>
      <w:r w:rsidR="00CA6C43" w:rsidRPr="00724D24">
        <w:rPr>
          <w:rFonts w:asciiTheme="minorHAnsi" w:eastAsiaTheme="minorHAnsi" w:hAnsiTheme="minorHAnsi"/>
          <w:b/>
          <w:color w:val="auto"/>
          <w:sz w:val="20"/>
          <w:szCs w:val="20"/>
          <w:lang w:val="sr-Cyrl-BA" w:eastAsia="en-US"/>
        </w:rPr>
        <w:t xml:space="preserve"> КМ</w:t>
      </w:r>
      <w:r w:rsidR="00CA6C43" w:rsidRPr="00881C61">
        <w:rPr>
          <w:rFonts w:asciiTheme="minorHAnsi" w:eastAsiaTheme="minorHAnsi" w:hAnsiTheme="minorHAnsi"/>
          <w:color w:val="auto"/>
          <w:sz w:val="20"/>
          <w:szCs w:val="20"/>
          <w:lang w:val="sr-Cyrl-BA" w:eastAsia="en-US"/>
        </w:rPr>
        <w:t>.</w:t>
      </w:r>
      <w:r w:rsidR="00CF5C14" w:rsidRPr="00881C61">
        <w:rPr>
          <w:rFonts w:asciiTheme="minorHAnsi" w:eastAsiaTheme="minorHAnsi" w:hAnsiTheme="minorHAnsi"/>
          <w:color w:val="auto"/>
          <w:sz w:val="20"/>
          <w:szCs w:val="20"/>
          <w:lang w:val="sr-Cyrl-BA" w:eastAsia="en-US"/>
        </w:rPr>
        <w:t xml:space="preserve">  Највећа је изложеност Фонда према финансијским посредницима по основу </w:t>
      </w:r>
      <w:r w:rsidR="006C4976" w:rsidRPr="00881C61">
        <w:rPr>
          <w:rFonts w:asciiTheme="minorHAnsi" w:eastAsiaTheme="minorHAnsi" w:hAnsiTheme="minorHAnsi"/>
          <w:color w:val="auto"/>
          <w:sz w:val="20"/>
          <w:szCs w:val="20"/>
          <w:lang w:val="sr-Cyrl-BA" w:eastAsia="en-US"/>
        </w:rPr>
        <w:t xml:space="preserve">236 активних гаранција из кредитног портфеља </w:t>
      </w:r>
      <w:r w:rsidR="006C4976">
        <w:rPr>
          <w:rFonts w:asciiTheme="minorHAnsi" w:eastAsiaTheme="minorHAnsi" w:hAnsiTheme="minorHAnsi"/>
          <w:color w:val="auto"/>
          <w:sz w:val="20"/>
          <w:szCs w:val="20"/>
          <w:lang w:val="sr-Cyrl-BA" w:eastAsia="en-US"/>
        </w:rPr>
        <w:t xml:space="preserve">и </w:t>
      </w:r>
      <w:r w:rsidR="006C4976" w:rsidRPr="00881C61">
        <w:rPr>
          <w:rFonts w:asciiTheme="minorHAnsi" w:eastAsiaTheme="minorHAnsi" w:hAnsiTheme="minorHAnsi"/>
          <w:color w:val="auto"/>
          <w:sz w:val="20"/>
          <w:szCs w:val="20"/>
          <w:lang w:val="sr-Cyrl-BA" w:eastAsia="en-US"/>
        </w:rPr>
        <w:t xml:space="preserve">износи </w:t>
      </w:r>
      <w:r w:rsidR="006C4976" w:rsidRPr="00EE5F06">
        <w:rPr>
          <w:rFonts w:ascii="Calibri" w:hAnsi="Calibri"/>
          <w:bCs/>
          <w:color w:val="auto"/>
          <w:sz w:val="20"/>
          <w:szCs w:val="20"/>
          <w:lang w:val="sr-Latn-RS"/>
        </w:rPr>
        <w:t>11.</w:t>
      </w:r>
      <w:r w:rsidR="006C4976">
        <w:rPr>
          <w:rFonts w:ascii="Calibri" w:hAnsi="Calibri"/>
          <w:bCs/>
          <w:color w:val="auto"/>
          <w:sz w:val="20"/>
          <w:szCs w:val="20"/>
          <w:lang w:val="sr-Cyrl-RS"/>
        </w:rPr>
        <w:t xml:space="preserve">376.007,13 </w:t>
      </w:r>
      <w:r w:rsidR="006C4976">
        <w:rPr>
          <w:rFonts w:asciiTheme="minorHAnsi" w:eastAsiaTheme="minorHAnsi" w:hAnsiTheme="minorHAnsi"/>
          <w:color w:val="auto"/>
          <w:sz w:val="20"/>
          <w:szCs w:val="20"/>
          <w:lang w:val="sr-Cyrl-BA" w:eastAsia="en-US"/>
        </w:rPr>
        <w:t>КМ.</w:t>
      </w:r>
      <w:r w:rsidR="006C4976" w:rsidRPr="00881C61">
        <w:rPr>
          <w:rFonts w:asciiTheme="minorHAnsi" w:eastAsiaTheme="minorHAnsi" w:hAnsiTheme="minorHAnsi"/>
          <w:color w:val="auto"/>
          <w:sz w:val="20"/>
          <w:szCs w:val="20"/>
          <w:lang w:val="sr-Cyrl-BA" w:eastAsia="en-US"/>
        </w:rPr>
        <w:t xml:space="preserve"> Изложеност по основу </w:t>
      </w:r>
      <w:r w:rsidRPr="00881C61">
        <w:rPr>
          <w:rFonts w:asciiTheme="minorHAnsi" w:eastAsiaTheme="minorHAnsi" w:hAnsiTheme="minorHAnsi"/>
          <w:color w:val="auto"/>
          <w:sz w:val="20"/>
          <w:szCs w:val="20"/>
          <w:lang w:val="sr-Cyrl-BA" w:eastAsia="en-US"/>
        </w:rPr>
        <w:t>6</w:t>
      </w:r>
      <w:r w:rsidR="006C4976">
        <w:rPr>
          <w:rFonts w:asciiTheme="minorHAnsi" w:eastAsiaTheme="minorHAnsi" w:hAnsiTheme="minorHAnsi"/>
          <w:color w:val="auto"/>
          <w:sz w:val="20"/>
          <w:szCs w:val="20"/>
          <w:lang w:val="sr-Cyrl-BA" w:eastAsia="en-US"/>
        </w:rPr>
        <w:t>0 активних појединачних</w:t>
      </w:r>
      <w:r w:rsidR="00CF5C14" w:rsidRPr="00881C61">
        <w:rPr>
          <w:rFonts w:asciiTheme="minorHAnsi" w:eastAsiaTheme="minorHAnsi" w:hAnsiTheme="minorHAnsi"/>
          <w:color w:val="auto"/>
          <w:sz w:val="20"/>
          <w:szCs w:val="20"/>
          <w:lang w:val="sr-Cyrl-BA" w:eastAsia="en-US"/>
        </w:rPr>
        <w:t xml:space="preserve"> гаранција</w:t>
      </w:r>
      <w:r w:rsidR="006C4976">
        <w:rPr>
          <w:rFonts w:asciiTheme="minorHAnsi" w:eastAsiaTheme="minorHAnsi" w:hAnsiTheme="minorHAnsi"/>
          <w:color w:val="auto"/>
          <w:sz w:val="20"/>
          <w:szCs w:val="20"/>
          <w:lang w:val="sr-Cyrl-BA" w:eastAsia="en-US"/>
        </w:rPr>
        <w:t xml:space="preserve"> је на приближно истом нивоу и</w:t>
      </w:r>
      <w:r w:rsidR="00CF5C14" w:rsidRPr="00881C61">
        <w:rPr>
          <w:rFonts w:asciiTheme="minorHAnsi" w:eastAsiaTheme="minorHAnsi" w:hAnsiTheme="minorHAnsi"/>
          <w:color w:val="auto"/>
          <w:sz w:val="20"/>
          <w:szCs w:val="20"/>
          <w:lang w:val="sr-Cyrl-BA" w:eastAsia="en-US"/>
        </w:rPr>
        <w:t xml:space="preserve"> износи </w:t>
      </w:r>
      <w:r w:rsidRPr="00881C61">
        <w:rPr>
          <w:rFonts w:asciiTheme="minorHAnsi" w:eastAsiaTheme="minorHAnsi" w:hAnsiTheme="minorHAnsi"/>
          <w:color w:val="auto"/>
          <w:sz w:val="20"/>
          <w:szCs w:val="20"/>
          <w:lang w:val="sr-Cyrl-BA" w:eastAsia="en-US"/>
        </w:rPr>
        <w:t>11.</w:t>
      </w:r>
      <w:r w:rsidR="006C4976">
        <w:rPr>
          <w:rFonts w:asciiTheme="minorHAnsi" w:eastAsiaTheme="minorHAnsi" w:hAnsiTheme="minorHAnsi"/>
          <w:color w:val="auto"/>
          <w:sz w:val="20"/>
          <w:szCs w:val="20"/>
          <w:lang w:val="sr-Cyrl-BA" w:eastAsia="en-US"/>
        </w:rPr>
        <w:t>350.332,05 КМ</w:t>
      </w:r>
      <w:r>
        <w:rPr>
          <w:rFonts w:asciiTheme="minorHAnsi" w:eastAsiaTheme="minorHAnsi" w:hAnsiTheme="minorHAnsi"/>
          <w:color w:val="auto"/>
          <w:sz w:val="20"/>
          <w:szCs w:val="20"/>
          <w:lang w:val="sr-Cyrl-BA" w:eastAsia="en-US"/>
        </w:rPr>
        <w:t xml:space="preserve">. </w:t>
      </w:r>
    </w:p>
    <w:p w:rsidR="00DA21E9" w:rsidRDefault="00DA21E9" w:rsidP="00A944C8">
      <w:pPr>
        <w:autoSpaceDE w:val="0"/>
        <w:autoSpaceDN w:val="0"/>
        <w:adjustRightInd w:val="0"/>
        <w:rPr>
          <w:rFonts w:asciiTheme="minorHAnsi" w:eastAsiaTheme="minorHAnsi" w:hAnsiTheme="minorHAnsi"/>
          <w:color w:val="auto"/>
          <w:sz w:val="20"/>
          <w:szCs w:val="20"/>
          <w:lang w:val="sr-Cyrl-BA" w:eastAsia="en-US"/>
        </w:rPr>
      </w:pPr>
    </w:p>
    <w:p w:rsidR="00CA6C43" w:rsidRDefault="00CF5C14" w:rsidP="00A944C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 xml:space="preserve">Најмања је изложеност Фонда по основу гаранција на емитоване хартије од вриједности </w:t>
      </w:r>
      <w:r w:rsidR="00C82041">
        <w:rPr>
          <w:rFonts w:asciiTheme="minorHAnsi" w:eastAsiaTheme="minorHAnsi" w:hAnsiTheme="minorHAnsi"/>
          <w:color w:val="auto"/>
          <w:sz w:val="20"/>
          <w:szCs w:val="20"/>
          <w:lang w:val="sr-Cyrl-BA" w:eastAsia="en-US"/>
        </w:rPr>
        <w:t xml:space="preserve">и </w:t>
      </w:r>
      <w:r w:rsidR="009051D2">
        <w:rPr>
          <w:rFonts w:asciiTheme="minorHAnsi" w:eastAsiaTheme="minorHAnsi" w:hAnsiTheme="minorHAnsi"/>
          <w:color w:val="auto"/>
          <w:sz w:val="20"/>
          <w:szCs w:val="20"/>
          <w:lang w:val="sr-Cyrl-BA" w:eastAsia="en-US"/>
        </w:rPr>
        <w:t>она</w:t>
      </w:r>
      <w:r w:rsidR="00881C61">
        <w:rPr>
          <w:rFonts w:asciiTheme="minorHAnsi" w:eastAsiaTheme="minorHAnsi" w:hAnsiTheme="minorHAnsi"/>
          <w:color w:val="auto"/>
          <w:sz w:val="20"/>
          <w:szCs w:val="20"/>
          <w:lang w:val="sr-Cyrl-BA" w:eastAsia="en-US"/>
        </w:rPr>
        <w:t xml:space="preserve"> на дан 31.12.2024. године</w:t>
      </w:r>
      <w:r w:rsidR="009051D2">
        <w:rPr>
          <w:rFonts w:asciiTheme="minorHAnsi" w:eastAsiaTheme="minorHAnsi" w:hAnsiTheme="minorHAnsi"/>
          <w:color w:val="auto"/>
          <w:sz w:val="20"/>
          <w:szCs w:val="20"/>
          <w:lang w:val="sr-Cyrl-BA" w:eastAsia="en-US"/>
        </w:rPr>
        <w:t xml:space="preserve"> </w:t>
      </w:r>
      <w:r w:rsidR="00C82041">
        <w:rPr>
          <w:rFonts w:asciiTheme="minorHAnsi" w:eastAsiaTheme="minorHAnsi" w:hAnsiTheme="minorHAnsi"/>
          <w:color w:val="auto"/>
          <w:sz w:val="20"/>
          <w:szCs w:val="20"/>
          <w:lang w:val="sr-Cyrl-BA" w:eastAsia="en-US"/>
        </w:rPr>
        <w:t>износи</w:t>
      </w:r>
      <w:r>
        <w:rPr>
          <w:rFonts w:asciiTheme="minorHAnsi" w:eastAsiaTheme="minorHAnsi" w:hAnsiTheme="minorHAnsi"/>
          <w:color w:val="auto"/>
          <w:sz w:val="20"/>
          <w:szCs w:val="20"/>
          <w:lang w:val="sr-Cyrl-BA" w:eastAsia="en-US"/>
        </w:rPr>
        <w:t xml:space="preserve"> </w:t>
      </w:r>
      <w:r w:rsidR="00881C61">
        <w:rPr>
          <w:rFonts w:asciiTheme="minorHAnsi" w:eastAsiaTheme="minorHAnsi" w:hAnsiTheme="minorHAnsi"/>
          <w:color w:val="auto"/>
          <w:sz w:val="20"/>
          <w:szCs w:val="20"/>
          <w:lang w:val="sr-Cyrl-BA" w:eastAsia="en-US"/>
        </w:rPr>
        <w:t>2.110.707,10</w:t>
      </w:r>
      <w:r>
        <w:rPr>
          <w:rFonts w:asciiTheme="minorHAnsi" w:eastAsiaTheme="minorHAnsi" w:hAnsiTheme="minorHAnsi"/>
          <w:color w:val="auto"/>
          <w:sz w:val="20"/>
          <w:szCs w:val="20"/>
          <w:lang w:val="sr-Cyrl-BA" w:eastAsia="en-US"/>
        </w:rPr>
        <w:t xml:space="preserve"> КМ, а односи се на </w:t>
      </w:r>
      <w:r w:rsidR="00C82041">
        <w:rPr>
          <w:rFonts w:asciiTheme="minorHAnsi" w:eastAsiaTheme="minorHAnsi" w:hAnsiTheme="minorHAnsi"/>
          <w:color w:val="auto"/>
          <w:sz w:val="20"/>
          <w:szCs w:val="20"/>
          <w:lang w:val="sr-Cyrl-BA" w:eastAsia="en-US"/>
        </w:rPr>
        <w:t>потенцијалну обавезу</w:t>
      </w:r>
      <w:r>
        <w:rPr>
          <w:rFonts w:asciiTheme="minorHAnsi" w:eastAsiaTheme="minorHAnsi" w:hAnsiTheme="minorHAnsi"/>
          <w:color w:val="auto"/>
          <w:sz w:val="20"/>
          <w:szCs w:val="20"/>
          <w:lang w:val="sr-Cyrl-BA" w:eastAsia="en-US"/>
        </w:rPr>
        <w:t xml:space="preserve"> према Централном регистру хартија од вриједности а.д. Бања Лука, који има </w:t>
      </w:r>
      <w:r w:rsidR="00881C61">
        <w:rPr>
          <w:rFonts w:asciiTheme="minorHAnsi" w:eastAsiaTheme="minorHAnsi" w:hAnsiTheme="minorHAnsi"/>
          <w:color w:val="auto"/>
          <w:sz w:val="20"/>
          <w:szCs w:val="20"/>
          <w:lang w:val="sr-Cyrl-BA" w:eastAsia="en-US"/>
        </w:rPr>
        <w:t>улогу платног агента и</w:t>
      </w:r>
      <w:r w:rsidR="00C82041">
        <w:rPr>
          <w:rFonts w:asciiTheme="minorHAnsi" w:eastAsiaTheme="minorHAnsi" w:hAnsiTheme="minorHAnsi"/>
          <w:color w:val="auto"/>
          <w:sz w:val="20"/>
          <w:szCs w:val="20"/>
          <w:lang w:val="sr-Cyrl-BA" w:eastAsia="en-US"/>
        </w:rPr>
        <w:t xml:space="preserve"> наступ</w:t>
      </w:r>
      <w:r>
        <w:rPr>
          <w:rFonts w:asciiTheme="minorHAnsi" w:eastAsiaTheme="minorHAnsi" w:hAnsiTheme="minorHAnsi"/>
          <w:color w:val="auto"/>
          <w:sz w:val="20"/>
          <w:szCs w:val="20"/>
          <w:lang w:val="sr-Cyrl-BA" w:eastAsia="en-US"/>
        </w:rPr>
        <w:t>а у име и за рачун власника обвезница.</w:t>
      </w:r>
    </w:p>
    <w:p w:rsidR="00572EC5" w:rsidRPr="00572EC5" w:rsidRDefault="00572EC5" w:rsidP="00572EC5">
      <w:pPr>
        <w:autoSpaceDE w:val="0"/>
        <w:autoSpaceDN w:val="0"/>
        <w:adjustRightInd w:val="0"/>
        <w:rPr>
          <w:rFonts w:asciiTheme="minorHAnsi" w:eastAsiaTheme="minorHAnsi" w:hAnsiTheme="minorHAnsi"/>
          <w:color w:val="auto"/>
          <w:sz w:val="20"/>
          <w:szCs w:val="20"/>
          <w:lang w:val="sr-Cyrl-BA" w:eastAsia="en-US"/>
        </w:rPr>
      </w:pPr>
    </w:p>
    <w:p w:rsidR="00185E75" w:rsidRDefault="00E66BA7" w:rsidP="008B5A35">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Општи закључак је да је и</w:t>
      </w:r>
      <w:r w:rsidR="00572EC5" w:rsidRPr="00572EC5">
        <w:rPr>
          <w:rFonts w:asciiTheme="minorHAnsi" w:eastAsiaTheme="minorHAnsi" w:hAnsiTheme="minorHAnsi"/>
          <w:color w:val="auto"/>
          <w:sz w:val="20"/>
          <w:szCs w:val="20"/>
          <w:lang w:val="sr-Cyrl-BA" w:eastAsia="en-US"/>
        </w:rPr>
        <w:t>зложеност Фонда на дан 31.12.202</w:t>
      </w:r>
      <w:r w:rsidR="00881C61">
        <w:rPr>
          <w:rFonts w:asciiTheme="minorHAnsi" w:eastAsiaTheme="minorHAnsi" w:hAnsiTheme="minorHAnsi"/>
          <w:color w:val="auto"/>
          <w:sz w:val="20"/>
          <w:szCs w:val="20"/>
          <w:lang w:val="sr-Cyrl-BA" w:eastAsia="en-US"/>
        </w:rPr>
        <w:t>4</w:t>
      </w:r>
      <w:r w:rsidR="00572EC5" w:rsidRPr="00572EC5">
        <w:rPr>
          <w:rFonts w:asciiTheme="minorHAnsi" w:eastAsiaTheme="minorHAnsi" w:hAnsiTheme="minorHAnsi"/>
          <w:color w:val="auto"/>
          <w:sz w:val="20"/>
          <w:szCs w:val="20"/>
          <w:lang w:val="sr-Cyrl-BA" w:eastAsia="en-US"/>
        </w:rPr>
        <w:t xml:space="preserve">. године </w:t>
      </w:r>
      <w:r w:rsidR="00536E78">
        <w:rPr>
          <w:rFonts w:asciiTheme="minorHAnsi" w:eastAsiaTheme="minorHAnsi" w:hAnsiTheme="minorHAnsi"/>
          <w:color w:val="auto"/>
          <w:sz w:val="20"/>
          <w:szCs w:val="20"/>
          <w:lang w:val="sr-Cyrl-BA" w:eastAsia="en-US"/>
        </w:rPr>
        <w:t>према свим финансијским посредницима</w:t>
      </w:r>
      <w:r w:rsidR="00536E78" w:rsidRPr="00572EC5">
        <w:rPr>
          <w:rFonts w:asciiTheme="minorHAnsi" w:eastAsiaTheme="minorHAnsi" w:hAnsiTheme="minorHAnsi"/>
          <w:color w:val="auto"/>
          <w:sz w:val="20"/>
          <w:szCs w:val="20"/>
          <w:lang w:val="sr-Cyrl-BA" w:eastAsia="en-US"/>
        </w:rPr>
        <w:t xml:space="preserve"> са којима Фонд има потписане уговоре о пословно-техничк</w:t>
      </w:r>
      <w:r w:rsidR="00536E78">
        <w:rPr>
          <w:rFonts w:asciiTheme="minorHAnsi" w:eastAsiaTheme="minorHAnsi" w:hAnsiTheme="minorHAnsi"/>
          <w:color w:val="auto"/>
          <w:sz w:val="20"/>
          <w:szCs w:val="20"/>
          <w:lang w:val="sr-Cyrl-BA" w:eastAsia="en-US"/>
        </w:rPr>
        <w:t xml:space="preserve">ој сарадњи </w:t>
      </w:r>
      <w:r w:rsidR="00572EC5" w:rsidRPr="00572EC5">
        <w:rPr>
          <w:rFonts w:asciiTheme="minorHAnsi" w:eastAsiaTheme="minorHAnsi" w:hAnsiTheme="minorHAnsi"/>
          <w:color w:val="auto"/>
          <w:sz w:val="20"/>
          <w:szCs w:val="20"/>
          <w:lang w:val="sr-Cyrl-BA" w:eastAsia="en-US"/>
        </w:rPr>
        <w:t>значајно испод ограничења из члана 14</w:t>
      </w:r>
      <w:r w:rsidR="00E6703F">
        <w:rPr>
          <w:rFonts w:asciiTheme="minorHAnsi" w:eastAsiaTheme="minorHAnsi" w:hAnsiTheme="minorHAnsi"/>
          <w:color w:val="auto"/>
          <w:sz w:val="20"/>
          <w:szCs w:val="20"/>
          <w:lang w:val="sr-Cyrl-BA" w:eastAsia="en-US"/>
        </w:rPr>
        <w:t>,</w:t>
      </w:r>
      <w:r w:rsidR="00572EC5" w:rsidRPr="00572EC5">
        <w:rPr>
          <w:rFonts w:asciiTheme="minorHAnsi" w:eastAsiaTheme="minorHAnsi" w:hAnsiTheme="minorHAnsi"/>
          <w:color w:val="auto"/>
          <w:sz w:val="20"/>
          <w:szCs w:val="20"/>
          <w:lang w:val="sr-Cyrl-BA" w:eastAsia="en-US"/>
        </w:rPr>
        <w:t xml:space="preserve"> став 3 Закона о Гарантном</w:t>
      </w:r>
      <w:r w:rsidR="00E6703F">
        <w:rPr>
          <w:rFonts w:asciiTheme="minorHAnsi" w:eastAsiaTheme="minorHAnsi" w:hAnsiTheme="minorHAnsi"/>
          <w:color w:val="auto"/>
          <w:sz w:val="20"/>
          <w:szCs w:val="20"/>
          <w:lang w:val="sr-Cyrl-BA" w:eastAsia="en-US"/>
        </w:rPr>
        <w:t xml:space="preserve"> фонду Републике Српске</w:t>
      </w:r>
      <w:r w:rsidR="00536E78">
        <w:rPr>
          <w:rFonts w:asciiTheme="minorHAnsi" w:eastAsiaTheme="minorHAnsi" w:hAnsiTheme="minorHAnsi"/>
          <w:color w:val="auto"/>
          <w:sz w:val="20"/>
          <w:szCs w:val="20"/>
          <w:lang w:val="sr-Cyrl-BA" w:eastAsia="en-US"/>
        </w:rPr>
        <w:t>.</w:t>
      </w:r>
    </w:p>
    <w:p w:rsidR="007E2AAA" w:rsidRDefault="007E2AAA" w:rsidP="008B5A35">
      <w:pPr>
        <w:autoSpaceDE w:val="0"/>
        <w:autoSpaceDN w:val="0"/>
        <w:adjustRightInd w:val="0"/>
        <w:rPr>
          <w:rFonts w:asciiTheme="minorHAnsi" w:eastAsiaTheme="minorHAnsi" w:hAnsiTheme="minorHAnsi"/>
          <w:color w:val="auto"/>
          <w:sz w:val="20"/>
          <w:szCs w:val="20"/>
          <w:lang w:val="sr-Cyrl-BA" w:eastAsia="en-US"/>
        </w:rPr>
      </w:pPr>
    </w:p>
    <w:p w:rsidR="007E2AAA" w:rsidRDefault="007E2AAA" w:rsidP="008B5A35">
      <w:pPr>
        <w:autoSpaceDE w:val="0"/>
        <w:autoSpaceDN w:val="0"/>
        <w:adjustRightInd w:val="0"/>
        <w:rPr>
          <w:rFonts w:asciiTheme="minorHAnsi" w:eastAsiaTheme="minorHAnsi" w:hAnsiTheme="minorHAnsi"/>
          <w:color w:val="auto"/>
          <w:sz w:val="20"/>
          <w:szCs w:val="20"/>
          <w:lang w:val="sr-Cyrl-BA" w:eastAsia="en-US"/>
        </w:rPr>
      </w:pPr>
    </w:p>
    <w:p w:rsidR="007E2AAA" w:rsidRDefault="007E2AAA" w:rsidP="008B5A35">
      <w:pPr>
        <w:autoSpaceDE w:val="0"/>
        <w:autoSpaceDN w:val="0"/>
        <w:adjustRightInd w:val="0"/>
        <w:rPr>
          <w:rFonts w:asciiTheme="minorHAnsi" w:eastAsiaTheme="minorHAnsi" w:hAnsiTheme="minorHAnsi"/>
          <w:color w:val="auto"/>
          <w:sz w:val="20"/>
          <w:szCs w:val="20"/>
          <w:lang w:val="sr-Cyrl-BA" w:eastAsia="en-US"/>
        </w:rPr>
      </w:pPr>
    </w:p>
    <w:p w:rsidR="007E2AAA" w:rsidRDefault="007E2AAA" w:rsidP="008B5A35">
      <w:pPr>
        <w:autoSpaceDE w:val="0"/>
        <w:autoSpaceDN w:val="0"/>
        <w:adjustRightInd w:val="0"/>
        <w:rPr>
          <w:rFonts w:asciiTheme="minorHAnsi" w:eastAsiaTheme="minorHAnsi" w:hAnsiTheme="minorHAnsi"/>
          <w:color w:val="auto"/>
          <w:sz w:val="20"/>
          <w:szCs w:val="20"/>
          <w:lang w:val="sr-Cyrl-BA" w:eastAsia="en-US"/>
        </w:rPr>
      </w:pPr>
    </w:p>
    <w:p w:rsidR="00185E75" w:rsidRPr="005767EF" w:rsidRDefault="00185E75" w:rsidP="001538EF">
      <w:pPr>
        <w:rPr>
          <w:rFonts w:asciiTheme="minorHAnsi" w:hAnsiTheme="minorHAnsi"/>
          <w:sz w:val="20"/>
          <w:szCs w:val="20"/>
          <w:lang w:val="sr-Cyrl-BA"/>
        </w:rPr>
      </w:pPr>
    </w:p>
    <w:p w:rsidR="001538EF" w:rsidRPr="006B0FF2" w:rsidRDefault="00E84021" w:rsidP="00E84021">
      <w:pPr>
        <w:pStyle w:val="Heading2"/>
        <w:numPr>
          <w:ilvl w:val="0"/>
          <w:numId w:val="0"/>
        </w:numPr>
        <w:ind w:left="576" w:hanging="576"/>
        <w:rPr>
          <w:rFonts w:asciiTheme="minorHAnsi" w:hAnsiTheme="minorHAnsi"/>
          <w:caps/>
          <w:color w:val="00B050"/>
          <w:szCs w:val="20"/>
          <w:lang w:val="sr-Latn-RS" w:eastAsia="en-US"/>
        </w:rPr>
      </w:pPr>
      <w:bookmarkStart w:id="10" w:name="_Toc135292173"/>
      <w:r w:rsidRPr="008B5A35">
        <w:rPr>
          <w:rFonts w:asciiTheme="minorHAnsi" w:hAnsiTheme="minorHAnsi"/>
          <w:caps/>
          <w:color w:val="000000" w:themeColor="text1"/>
          <w:szCs w:val="20"/>
          <w:lang w:val="sr-Cyrl-RS"/>
        </w:rPr>
        <w:t xml:space="preserve">2.5. </w:t>
      </w:r>
      <w:r w:rsidR="00DA21E9">
        <w:rPr>
          <w:rFonts w:asciiTheme="minorHAnsi" w:hAnsiTheme="minorHAnsi"/>
          <w:caps/>
          <w:color w:val="000000" w:themeColor="text1"/>
          <w:szCs w:val="20"/>
        </w:rPr>
        <w:t xml:space="preserve">анализа </w:t>
      </w:r>
      <w:r w:rsidR="001538EF" w:rsidRPr="008B5A35">
        <w:rPr>
          <w:rFonts w:asciiTheme="minorHAnsi" w:hAnsiTheme="minorHAnsi"/>
          <w:caps/>
          <w:color w:val="000000" w:themeColor="text1"/>
          <w:szCs w:val="20"/>
        </w:rPr>
        <w:t xml:space="preserve"> гаранција из </w:t>
      </w:r>
      <w:r w:rsidR="001C27A1" w:rsidRPr="008B5A35">
        <w:rPr>
          <w:rFonts w:asciiTheme="minorHAnsi" w:hAnsiTheme="minorHAnsi"/>
          <w:caps/>
          <w:color w:val="000000" w:themeColor="text1"/>
          <w:szCs w:val="20"/>
          <w:lang w:val="sr-Cyrl-RS"/>
        </w:rPr>
        <w:t xml:space="preserve">ГАРАНТНОГ </w:t>
      </w:r>
      <w:r w:rsidR="001538EF" w:rsidRPr="008B5A35">
        <w:rPr>
          <w:rFonts w:asciiTheme="minorHAnsi" w:hAnsiTheme="minorHAnsi"/>
          <w:caps/>
          <w:color w:val="000000" w:themeColor="text1"/>
          <w:szCs w:val="20"/>
        </w:rPr>
        <w:t xml:space="preserve">програма </w:t>
      </w:r>
      <w:r w:rsidR="00545FA4" w:rsidRPr="008B5A35">
        <w:rPr>
          <w:rFonts w:asciiTheme="minorHAnsi" w:hAnsiTheme="minorHAnsi"/>
          <w:caps/>
          <w:color w:val="000000" w:themeColor="text1"/>
          <w:szCs w:val="20"/>
          <w:lang w:val="sr-Cyrl-BA"/>
        </w:rPr>
        <w:t>COVID-19 на дан 31.12.202</w:t>
      </w:r>
      <w:r w:rsidR="00185E75" w:rsidRPr="008B5A35">
        <w:rPr>
          <w:rFonts w:asciiTheme="minorHAnsi" w:hAnsiTheme="minorHAnsi"/>
          <w:caps/>
          <w:color w:val="000000" w:themeColor="text1"/>
          <w:szCs w:val="20"/>
          <w:lang w:val="sr-Cyrl-BA"/>
        </w:rPr>
        <w:t>4</w:t>
      </w:r>
      <w:r w:rsidR="001538EF" w:rsidRPr="008B5A35">
        <w:rPr>
          <w:rFonts w:asciiTheme="minorHAnsi" w:hAnsiTheme="minorHAnsi"/>
          <w:caps/>
          <w:color w:val="000000" w:themeColor="text1"/>
          <w:szCs w:val="20"/>
          <w:lang w:val="sr-Cyrl-BA"/>
        </w:rPr>
        <w:t>. године</w:t>
      </w:r>
      <w:bookmarkEnd w:id="10"/>
    </w:p>
    <w:p w:rsidR="001538EF" w:rsidRPr="001C27A1" w:rsidRDefault="001538EF" w:rsidP="001C27A1">
      <w:pPr>
        <w:jc w:val="left"/>
        <w:rPr>
          <w:rFonts w:asciiTheme="minorHAnsi" w:hAnsiTheme="minorHAnsi"/>
          <w:sz w:val="20"/>
          <w:szCs w:val="20"/>
          <w:lang w:val="sr-Cyrl-BA"/>
        </w:rPr>
      </w:pPr>
    </w:p>
    <w:p w:rsidR="00545FA4" w:rsidRDefault="00545FA4" w:rsidP="00DE601E">
      <w:pPr>
        <w:autoSpaceDE w:val="0"/>
        <w:autoSpaceDN w:val="0"/>
        <w:adjustRightInd w:val="0"/>
        <w:rPr>
          <w:rFonts w:asciiTheme="minorHAnsi" w:hAnsiTheme="minorHAnsi"/>
          <w:noProof/>
          <w:color w:val="auto"/>
          <w:sz w:val="20"/>
          <w:szCs w:val="20"/>
          <w:lang w:val="sr-Cyrl-RS"/>
        </w:rPr>
      </w:pPr>
      <w:r w:rsidRPr="001C27A1">
        <w:rPr>
          <w:rFonts w:asciiTheme="minorHAnsi" w:hAnsiTheme="minorHAnsi"/>
          <w:noProof/>
          <w:color w:val="auto"/>
          <w:sz w:val="20"/>
          <w:szCs w:val="20"/>
          <w:lang w:val="sr-Cyrl-RS"/>
        </w:rPr>
        <w:t>Уредбом са законском снагом о допунама Закона о Гарантном фонду Републике Српске од 8. маја 2020. године (</w:t>
      </w:r>
      <w:r w:rsidRPr="001C27A1">
        <w:rPr>
          <w:rFonts w:asciiTheme="minorHAnsi" w:eastAsiaTheme="minorHAnsi" w:hAnsiTheme="minorHAnsi"/>
          <w:sz w:val="20"/>
          <w:szCs w:val="20"/>
          <w:lang w:val="sr-Cyrl-BA" w:eastAsia="en-US"/>
        </w:rPr>
        <w:t xml:space="preserve">Службени гласник Републике Српске број 44/20) и </w:t>
      </w:r>
      <w:r w:rsidRPr="001C27A1">
        <w:rPr>
          <w:rFonts w:asciiTheme="minorHAnsi" w:hAnsiTheme="minorHAnsi"/>
          <w:noProof/>
          <w:color w:val="auto"/>
          <w:sz w:val="20"/>
          <w:szCs w:val="20"/>
          <w:lang w:val="sr-Cyrl-RS"/>
        </w:rPr>
        <w:t>Одлуком Народне скупштине Републике Српске о утврђивању Уредбе са законском снагом о допунама  Закона о Гарантном фонду Републике Српске ( „Службени гласник Републике Српске“  53/20)</w:t>
      </w:r>
      <w:r w:rsidRPr="001C27A1">
        <w:rPr>
          <w:rFonts w:asciiTheme="minorHAnsi" w:hAnsiTheme="minorHAnsi"/>
          <w:noProof/>
          <w:color w:val="auto"/>
          <w:sz w:val="20"/>
          <w:szCs w:val="20"/>
        </w:rPr>
        <w:t xml:space="preserve">, </w:t>
      </w:r>
      <w:r w:rsidRPr="001C27A1">
        <w:rPr>
          <w:rFonts w:asciiTheme="minorHAnsi" w:hAnsiTheme="minorHAnsi"/>
          <w:noProof/>
          <w:color w:val="auto"/>
          <w:sz w:val="20"/>
          <w:szCs w:val="20"/>
          <w:lang w:val="sr-Cyrl-RS"/>
        </w:rPr>
        <w:t>дефинисана је улога Гарантног фонда Републике Српске у провођењу гарантног програма који организује Република Српска у општем економском интересу, ради олакшања приступа финансијским средствима и ублажавања посљедица наступања посебних околности на привреду Републике Српске, укључујући ванредно стање или ванредну ситуацију, на начин да Фонд може обављати стручне и административно-техничке послове и управљати гарантним програмима које организује Република Српска.</w:t>
      </w:r>
    </w:p>
    <w:p w:rsidR="001C27A1" w:rsidRPr="001C27A1" w:rsidRDefault="001C27A1" w:rsidP="00DE601E">
      <w:pPr>
        <w:autoSpaceDE w:val="0"/>
        <w:autoSpaceDN w:val="0"/>
        <w:adjustRightInd w:val="0"/>
        <w:rPr>
          <w:rFonts w:asciiTheme="minorHAnsi" w:hAnsiTheme="minorHAnsi"/>
          <w:sz w:val="20"/>
          <w:szCs w:val="20"/>
          <w:lang w:val="sr-Cyrl-BA"/>
        </w:rPr>
      </w:pPr>
    </w:p>
    <w:p w:rsidR="00545FA4" w:rsidRDefault="00545FA4" w:rsidP="00DE601E">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sz w:val="20"/>
          <w:szCs w:val="20"/>
          <w:lang w:val="sr-Cyrl-BA" w:eastAsia="en-US"/>
        </w:rPr>
        <w:t>О</w:t>
      </w:r>
      <w:r w:rsidRPr="001C27A1">
        <w:rPr>
          <w:rFonts w:asciiTheme="minorHAnsi" w:eastAsiaTheme="minorHAnsi" w:hAnsiTheme="minorHAnsi"/>
          <w:sz w:val="20"/>
          <w:szCs w:val="20"/>
          <w:lang w:val="sr-Latn-RS" w:eastAsia="en-US"/>
        </w:rPr>
        <w:t>длуком Влад</w:t>
      </w:r>
      <w:r w:rsidRPr="001C27A1">
        <w:rPr>
          <w:rFonts w:asciiTheme="minorHAnsi" w:eastAsiaTheme="minorHAnsi" w:hAnsiTheme="minorHAnsi"/>
          <w:sz w:val="20"/>
          <w:szCs w:val="20"/>
          <w:lang w:val="sr-Cyrl-BA" w:eastAsia="en-US"/>
        </w:rPr>
        <w:t>е</w:t>
      </w:r>
      <w:r w:rsidRPr="001C27A1">
        <w:rPr>
          <w:rFonts w:asciiTheme="minorHAnsi" w:eastAsiaTheme="minorHAnsi" w:hAnsiTheme="minorHAnsi"/>
          <w:sz w:val="20"/>
          <w:szCs w:val="20"/>
          <w:lang w:val="sr-Latn-RS" w:eastAsia="en-US"/>
        </w:rPr>
        <w:t xml:space="preserve"> Републике Српске </w:t>
      </w:r>
      <w:r w:rsidRPr="001C27A1">
        <w:rPr>
          <w:rFonts w:asciiTheme="minorHAnsi" w:eastAsiaTheme="minorHAnsi" w:hAnsiTheme="minorHAnsi"/>
          <w:sz w:val="20"/>
          <w:szCs w:val="20"/>
          <w:lang w:val="sr-Cyrl-BA" w:eastAsia="en-US"/>
        </w:rPr>
        <w:t>од 02.07.2020. године (Службени гласник Републике Српске број 64/20)</w:t>
      </w:r>
      <w:r w:rsidR="00615026">
        <w:rPr>
          <w:rFonts w:asciiTheme="minorHAnsi" w:eastAsiaTheme="minorHAnsi" w:hAnsiTheme="minorHAnsi"/>
          <w:sz w:val="20"/>
          <w:szCs w:val="20"/>
          <w:lang w:val="sr-Cyrl-BA" w:eastAsia="en-US"/>
        </w:rPr>
        <w:t>,</w:t>
      </w:r>
      <w:r w:rsidRPr="001C27A1">
        <w:rPr>
          <w:rFonts w:asciiTheme="minorHAnsi" w:eastAsiaTheme="minorHAnsi" w:hAnsiTheme="minorHAnsi"/>
          <w:sz w:val="20"/>
          <w:szCs w:val="20"/>
          <w:lang w:val="sr-Cyrl-BA" w:eastAsia="en-US"/>
        </w:rPr>
        <w:t xml:space="preserve"> организован је </w:t>
      </w:r>
      <w:r w:rsidRPr="001C27A1">
        <w:rPr>
          <w:rFonts w:asciiTheme="minorHAnsi" w:eastAsiaTheme="minorHAnsi" w:hAnsiTheme="minorHAnsi"/>
          <w:sz w:val="20"/>
          <w:szCs w:val="20"/>
          <w:lang w:val="sr-Latn-RS" w:eastAsia="en-US"/>
        </w:rPr>
        <w:t>Гарантни програм подршке привр</w:t>
      </w:r>
      <w:r w:rsidRPr="001C27A1">
        <w:rPr>
          <w:rFonts w:asciiTheme="minorHAnsi" w:eastAsiaTheme="minorHAnsi" w:hAnsiTheme="minorHAnsi"/>
          <w:sz w:val="20"/>
          <w:szCs w:val="20"/>
          <w:lang w:val="sr-Cyrl-BA" w:eastAsia="en-US"/>
        </w:rPr>
        <w:t>е</w:t>
      </w:r>
      <w:r w:rsidRPr="001C27A1">
        <w:rPr>
          <w:rFonts w:asciiTheme="minorHAnsi" w:eastAsiaTheme="minorHAnsi" w:hAnsiTheme="minorHAnsi"/>
          <w:sz w:val="20"/>
          <w:szCs w:val="20"/>
          <w:lang w:val="sr-Latn-RS" w:eastAsia="en-US"/>
        </w:rPr>
        <w:t>ди за</w:t>
      </w:r>
      <w:r w:rsidRPr="001C27A1">
        <w:rPr>
          <w:rFonts w:asciiTheme="minorHAnsi" w:eastAsiaTheme="minorHAnsi" w:hAnsiTheme="minorHAnsi"/>
          <w:sz w:val="20"/>
          <w:szCs w:val="20"/>
          <w:lang w:val="sr-Cyrl-BA" w:eastAsia="en-US"/>
        </w:rPr>
        <w:t xml:space="preserve"> </w:t>
      </w:r>
      <w:r w:rsidRPr="001C27A1">
        <w:rPr>
          <w:rFonts w:asciiTheme="minorHAnsi" w:eastAsiaTheme="minorHAnsi" w:hAnsiTheme="minorHAnsi"/>
          <w:sz w:val="20"/>
          <w:szCs w:val="20"/>
          <w:lang w:val="sr-Latn-RS" w:eastAsia="en-US"/>
        </w:rPr>
        <w:t>ублажавање посљедица пандемије болести COVID</w:t>
      </w:r>
      <w:r w:rsidRPr="001C27A1">
        <w:rPr>
          <w:rFonts w:asciiTheme="minorHAnsi" w:eastAsiaTheme="minorHAnsi" w:hAnsiTheme="minorHAnsi"/>
          <w:sz w:val="20"/>
          <w:szCs w:val="20"/>
          <w:lang w:val="sr-Cyrl-BA" w:eastAsia="en-US"/>
        </w:rPr>
        <w:t>-</w:t>
      </w:r>
      <w:r w:rsidRPr="001C27A1">
        <w:rPr>
          <w:rFonts w:asciiTheme="minorHAnsi" w:eastAsiaTheme="minorHAnsi" w:hAnsiTheme="minorHAnsi"/>
          <w:sz w:val="20"/>
          <w:szCs w:val="20"/>
          <w:lang w:val="sr-Latn-RS" w:eastAsia="en-US"/>
        </w:rPr>
        <w:t>19</w:t>
      </w:r>
      <w:r w:rsidRPr="001C27A1">
        <w:rPr>
          <w:rFonts w:asciiTheme="minorHAnsi" w:eastAsiaTheme="minorHAnsi" w:hAnsiTheme="minorHAnsi"/>
          <w:sz w:val="20"/>
          <w:szCs w:val="20"/>
          <w:lang w:val="sr-Cyrl-BA" w:eastAsia="en-US"/>
        </w:rPr>
        <w:t xml:space="preserve"> </w:t>
      </w:r>
      <w:r w:rsidRPr="001C27A1">
        <w:rPr>
          <w:rFonts w:asciiTheme="minorHAnsi" w:eastAsiaTheme="minorHAnsi" w:hAnsiTheme="minorHAnsi"/>
          <w:color w:val="auto"/>
          <w:sz w:val="20"/>
          <w:szCs w:val="20"/>
          <w:lang w:val="sr-Latn-RS" w:eastAsia="en-US"/>
        </w:rPr>
        <w:t>као једн</w:t>
      </w:r>
      <w:r w:rsidRPr="001C27A1">
        <w:rPr>
          <w:rFonts w:asciiTheme="minorHAnsi" w:eastAsiaTheme="minorHAnsi" w:hAnsiTheme="minorHAnsi"/>
          <w:color w:val="auto"/>
          <w:sz w:val="20"/>
          <w:szCs w:val="20"/>
          <w:lang w:val="sr-Cyrl-RS" w:eastAsia="en-US"/>
        </w:rPr>
        <w:t>а</w:t>
      </w:r>
      <w:r w:rsidRPr="001C27A1">
        <w:rPr>
          <w:rFonts w:asciiTheme="minorHAnsi" w:eastAsiaTheme="minorHAnsi" w:hAnsiTheme="minorHAnsi"/>
          <w:color w:val="auto"/>
          <w:sz w:val="20"/>
          <w:szCs w:val="20"/>
          <w:lang w:val="sr-Latn-RS" w:eastAsia="en-US"/>
        </w:rPr>
        <w:t xml:space="preserve"> од мјера подршке привреди ради ублажавања економских посљедица и спречавања веће економск</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шт</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те </w:t>
      </w:r>
      <w:r w:rsidRPr="001C27A1">
        <w:rPr>
          <w:rFonts w:asciiTheme="minorHAnsi" w:eastAsiaTheme="minorHAnsi" w:hAnsiTheme="minorHAnsi"/>
          <w:color w:val="auto"/>
          <w:sz w:val="20"/>
          <w:szCs w:val="20"/>
          <w:lang w:val="sr-Cyrl-RS" w:eastAsia="en-US"/>
        </w:rPr>
        <w:t xml:space="preserve">узроковане </w:t>
      </w:r>
      <w:r w:rsidRPr="001C27A1">
        <w:rPr>
          <w:rFonts w:asciiTheme="minorHAnsi" w:eastAsiaTheme="minorHAnsi" w:hAnsiTheme="minorHAnsi"/>
          <w:color w:val="auto"/>
          <w:sz w:val="20"/>
          <w:szCs w:val="20"/>
          <w:lang w:val="sr-Latn-RS" w:eastAsia="en-US"/>
        </w:rPr>
        <w:t>боле</w:t>
      </w:r>
      <w:r w:rsidRPr="001C27A1">
        <w:rPr>
          <w:rFonts w:asciiTheme="minorHAnsi" w:eastAsiaTheme="minorHAnsi" w:hAnsiTheme="minorHAnsi"/>
          <w:color w:val="auto"/>
          <w:sz w:val="20"/>
          <w:szCs w:val="20"/>
          <w:lang w:val="sr-Cyrl-RS" w:eastAsia="en-US"/>
        </w:rPr>
        <w:t>шћу</w:t>
      </w:r>
      <w:r w:rsidRPr="001C27A1">
        <w:rPr>
          <w:rFonts w:asciiTheme="minorHAnsi" w:eastAsiaTheme="minorHAnsi" w:hAnsiTheme="minorHAnsi"/>
          <w:color w:val="auto"/>
          <w:sz w:val="20"/>
          <w:szCs w:val="20"/>
          <w:lang w:val="sr-Latn-RS" w:eastAsia="en-US"/>
        </w:rPr>
        <w:t xml:space="preserve">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19 изазване вирусом SARS-CoV-2</w:t>
      </w:r>
      <w:r w:rsidRPr="001C27A1">
        <w:rPr>
          <w:rFonts w:asciiTheme="minorHAnsi" w:eastAsiaTheme="minorHAnsi" w:hAnsiTheme="minorHAnsi"/>
          <w:sz w:val="20"/>
          <w:szCs w:val="20"/>
          <w:lang w:val="sr-Cyrl-BA" w:eastAsia="en-US"/>
        </w:rPr>
        <w:t>.</w:t>
      </w:r>
    </w:p>
    <w:p w:rsidR="001C27A1" w:rsidRPr="001C27A1" w:rsidRDefault="001C27A1" w:rsidP="00DE601E">
      <w:pPr>
        <w:autoSpaceDE w:val="0"/>
        <w:autoSpaceDN w:val="0"/>
        <w:adjustRightInd w:val="0"/>
        <w:rPr>
          <w:rFonts w:asciiTheme="minorHAnsi" w:eastAsiaTheme="minorHAnsi" w:hAnsiTheme="minorHAnsi"/>
          <w:sz w:val="20"/>
          <w:szCs w:val="20"/>
          <w:lang w:val="sr-Cyrl-BA" w:eastAsia="en-US"/>
        </w:rPr>
      </w:pPr>
    </w:p>
    <w:p w:rsidR="00545FA4" w:rsidRDefault="00545FA4" w:rsidP="00DE601E">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color w:val="auto"/>
          <w:sz w:val="20"/>
          <w:szCs w:val="20"/>
          <w:lang w:val="sr-Latn-RS" w:eastAsia="en-US"/>
        </w:rPr>
        <w:t>Циљ Гарантног програма</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BA" w:eastAsia="en-US"/>
        </w:rPr>
        <w:t>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RS" w:eastAsia="en-US"/>
        </w:rPr>
        <w:t xml:space="preserve"> је олакшавање приступа финансијским средствима за привредне субјекте – </w:t>
      </w:r>
      <w:r w:rsidRPr="001C27A1">
        <w:rPr>
          <w:rFonts w:asciiTheme="minorHAnsi" w:eastAsiaTheme="minorHAnsi" w:hAnsiTheme="minorHAnsi"/>
          <w:color w:val="auto"/>
          <w:sz w:val="20"/>
          <w:szCs w:val="20"/>
          <w:lang w:val="sr-Cyrl-RS" w:eastAsia="en-US"/>
        </w:rPr>
        <w:t xml:space="preserve">предузетнике, </w:t>
      </w:r>
      <w:r w:rsidRPr="001C27A1">
        <w:rPr>
          <w:rFonts w:asciiTheme="minorHAnsi" w:eastAsiaTheme="minorHAnsi" w:hAnsiTheme="minorHAnsi"/>
          <w:color w:val="auto"/>
          <w:sz w:val="20"/>
          <w:szCs w:val="20"/>
          <w:lang w:val="sr-Latn-RS" w:eastAsia="en-US"/>
        </w:rPr>
        <w:t>микро</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 xml:space="preserve"> мала и средња пр</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дуз</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ћа</w:t>
      </w:r>
      <w:r w:rsidRPr="001C27A1">
        <w:rPr>
          <w:rFonts w:asciiTheme="minorHAnsi" w:eastAsiaTheme="minorHAnsi" w:hAnsiTheme="minorHAnsi"/>
          <w:color w:val="auto"/>
          <w:sz w:val="20"/>
          <w:szCs w:val="20"/>
          <w:lang w:val="sr-Cyrl-RS" w:eastAsia="en-US"/>
        </w:rPr>
        <w:t xml:space="preserve"> путем</w:t>
      </w:r>
      <w:r w:rsidRPr="001C27A1">
        <w:rPr>
          <w:rFonts w:asciiTheme="minorHAnsi" w:eastAsiaTheme="minorHAnsi" w:hAnsiTheme="minorHAnsi"/>
          <w:color w:val="auto"/>
          <w:sz w:val="20"/>
          <w:szCs w:val="20"/>
          <w:lang w:val="sr-Latn-RS" w:eastAsia="en-US"/>
        </w:rPr>
        <w:t xml:space="preserve"> из</w:t>
      </w:r>
      <w:r w:rsidRPr="001C27A1">
        <w:rPr>
          <w:rFonts w:asciiTheme="minorHAnsi" w:eastAsiaTheme="minorHAnsi" w:hAnsiTheme="minorHAnsi"/>
          <w:color w:val="auto"/>
          <w:sz w:val="20"/>
          <w:szCs w:val="20"/>
          <w:lang w:val="sr-Cyrl-BA" w:eastAsia="en-US"/>
        </w:rPr>
        <w:t>д</w:t>
      </w:r>
      <w:r w:rsidRPr="001C27A1">
        <w:rPr>
          <w:rFonts w:asciiTheme="minorHAnsi" w:eastAsiaTheme="minorHAnsi" w:hAnsiTheme="minorHAnsi"/>
          <w:color w:val="auto"/>
          <w:sz w:val="20"/>
          <w:szCs w:val="20"/>
          <w:lang w:val="sr-Latn-RS" w:eastAsia="en-US"/>
        </w:rPr>
        <w:t>а</w:t>
      </w:r>
      <w:r w:rsidRPr="001C27A1">
        <w:rPr>
          <w:rFonts w:asciiTheme="minorHAnsi" w:eastAsiaTheme="minorHAnsi" w:hAnsiTheme="minorHAnsi"/>
          <w:color w:val="auto"/>
          <w:sz w:val="20"/>
          <w:szCs w:val="20"/>
          <w:lang w:val="sr-Cyrl-BA" w:eastAsia="en-US"/>
        </w:rPr>
        <w:t>в</w:t>
      </w:r>
      <w:r w:rsidRPr="001C27A1">
        <w:rPr>
          <w:rFonts w:asciiTheme="minorHAnsi" w:eastAsiaTheme="minorHAnsi" w:hAnsiTheme="minorHAnsi"/>
          <w:color w:val="auto"/>
          <w:sz w:val="20"/>
          <w:szCs w:val="20"/>
          <w:lang w:val="sr-Latn-RS" w:eastAsia="en-US"/>
        </w:rPr>
        <w:t>а</w:t>
      </w:r>
      <w:r w:rsidRPr="001C27A1">
        <w:rPr>
          <w:rFonts w:asciiTheme="minorHAnsi" w:eastAsiaTheme="minorHAnsi" w:hAnsiTheme="minorHAnsi"/>
          <w:color w:val="auto"/>
          <w:sz w:val="20"/>
          <w:szCs w:val="20"/>
          <w:lang w:val="sr-Cyrl-BA" w:eastAsia="en-US"/>
        </w:rPr>
        <w:t>њ</w:t>
      </w:r>
      <w:r w:rsidRPr="001C27A1">
        <w:rPr>
          <w:rFonts w:asciiTheme="minorHAnsi" w:eastAsiaTheme="minorHAnsi" w:hAnsiTheme="minorHAnsi"/>
          <w:color w:val="auto"/>
          <w:sz w:val="20"/>
          <w:szCs w:val="20"/>
          <w:lang w:val="sr-Cyrl-RS" w:eastAsia="en-US"/>
        </w:rPr>
        <w:t>а</w:t>
      </w:r>
      <w:r w:rsidRPr="001C27A1">
        <w:rPr>
          <w:rFonts w:asciiTheme="minorHAnsi" w:eastAsiaTheme="minorHAnsi" w:hAnsiTheme="minorHAnsi"/>
          <w:color w:val="auto"/>
          <w:sz w:val="20"/>
          <w:szCs w:val="20"/>
          <w:lang w:val="sr-Latn-RS" w:eastAsia="en-US"/>
        </w:rPr>
        <w:t xml:space="preserve"> гара</w:t>
      </w:r>
      <w:r w:rsidRPr="001C27A1">
        <w:rPr>
          <w:rFonts w:asciiTheme="minorHAnsi" w:eastAsiaTheme="minorHAnsi" w:hAnsiTheme="minorHAnsi"/>
          <w:color w:val="auto"/>
          <w:sz w:val="20"/>
          <w:szCs w:val="20"/>
          <w:lang w:val="sr-Cyrl-BA" w:eastAsia="en-US"/>
        </w:rPr>
        <w:t>н</w:t>
      </w:r>
      <w:r w:rsidRPr="001C27A1">
        <w:rPr>
          <w:rFonts w:asciiTheme="minorHAnsi" w:eastAsiaTheme="minorHAnsi" w:hAnsiTheme="minorHAnsi"/>
          <w:color w:val="auto"/>
          <w:sz w:val="20"/>
          <w:szCs w:val="20"/>
          <w:lang w:val="sr-Latn-RS" w:eastAsia="en-US"/>
        </w:rPr>
        <w:t>циј</w:t>
      </w:r>
      <w:r w:rsidRPr="001C27A1">
        <w:rPr>
          <w:rFonts w:asciiTheme="minorHAnsi" w:eastAsiaTheme="minorHAnsi" w:hAnsiTheme="minorHAnsi"/>
          <w:color w:val="auto"/>
          <w:sz w:val="20"/>
          <w:szCs w:val="20"/>
          <w:lang w:val="sr-Cyrl-BA" w:eastAsia="en-US"/>
        </w:rPr>
        <w:t>а</w:t>
      </w:r>
      <w:r w:rsidRPr="001C27A1">
        <w:rPr>
          <w:rFonts w:asciiTheme="minorHAnsi" w:eastAsiaTheme="minorHAnsi" w:hAnsiTheme="minorHAnsi"/>
          <w:color w:val="auto"/>
          <w:sz w:val="20"/>
          <w:szCs w:val="20"/>
          <w:lang w:val="sr-Latn-RS" w:eastAsia="en-US"/>
        </w:rPr>
        <w:t xml:space="preserve"> за обезбј</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ђење потраживања по кр</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диту одобреном од финансијск</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 орг</w:t>
      </w:r>
      <w:r w:rsidRPr="001C27A1">
        <w:rPr>
          <w:rFonts w:asciiTheme="minorHAnsi" w:eastAsiaTheme="minorHAnsi" w:hAnsiTheme="minorHAnsi"/>
          <w:color w:val="auto"/>
          <w:sz w:val="20"/>
          <w:szCs w:val="20"/>
          <w:lang w:val="sr-Cyrl-BA" w:eastAsia="en-US"/>
        </w:rPr>
        <w:t>а</w:t>
      </w:r>
      <w:r w:rsidRPr="001C27A1">
        <w:rPr>
          <w:rFonts w:asciiTheme="minorHAnsi" w:eastAsiaTheme="minorHAnsi" w:hAnsiTheme="minorHAnsi"/>
          <w:color w:val="auto"/>
          <w:sz w:val="20"/>
          <w:szCs w:val="20"/>
          <w:lang w:val="sr-Latn-RS" w:eastAsia="en-US"/>
        </w:rPr>
        <w:t>низациј</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тј. об</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збјеђењсм дјелимичн</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 заштит</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 xml:space="preserve"> од кредитног</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Latn-RS" w:eastAsia="en-US"/>
        </w:rPr>
        <w:t>ризика тих предузећа</w:t>
      </w:r>
      <w:r w:rsidRPr="001C27A1">
        <w:rPr>
          <w:rFonts w:asciiTheme="minorHAnsi" w:eastAsiaTheme="minorHAnsi" w:hAnsiTheme="minorHAnsi"/>
          <w:color w:val="auto"/>
          <w:sz w:val="20"/>
          <w:szCs w:val="20"/>
          <w:lang w:val="sr-Cyrl-BA" w:eastAsia="en-US"/>
        </w:rPr>
        <w:t>,</w:t>
      </w:r>
      <w:r w:rsidRPr="001C27A1">
        <w:rPr>
          <w:rFonts w:asciiTheme="minorHAnsi" w:eastAsiaTheme="minorHAnsi" w:hAnsiTheme="minorHAnsi"/>
          <w:color w:val="auto"/>
          <w:sz w:val="20"/>
          <w:szCs w:val="20"/>
          <w:lang w:val="sr-Latn-RS" w:eastAsia="en-US"/>
        </w:rPr>
        <w:t xml:space="preserve"> </w:t>
      </w:r>
      <w:r w:rsidRPr="001C27A1">
        <w:rPr>
          <w:rFonts w:asciiTheme="minorHAnsi" w:eastAsiaTheme="minorHAnsi" w:hAnsiTheme="minorHAnsi"/>
          <w:color w:val="auto"/>
          <w:sz w:val="20"/>
          <w:szCs w:val="20"/>
          <w:lang w:val="sr-Cyrl-RS" w:eastAsia="en-US"/>
        </w:rPr>
        <w:t>п</w:t>
      </w:r>
      <w:r w:rsidRPr="001C27A1">
        <w:rPr>
          <w:rFonts w:asciiTheme="minorHAnsi" w:eastAsiaTheme="minorHAnsi" w:hAnsiTheme="minorHAnsi"/>
          <w:color w:val="auto"/>
          <w:sz w:val="20"/>
          <w:szCs w:val="20"/>
          <w:lang w:val="sr-Latn-RS" w:eastAsia="en-US"/>
        </w:rPr>
        <w:t xml:space="preserve">овећаног </w:t>
      </w:r>
      <w:r w:rsidRPr="001C27A1">
        <w:rPr>
          <w:rFonts w:asciiTheme="minorHAnsi" w:eastAsiaTheme="minorHAnsi" w:hAnsiTheme="minorHAnsi"/>
          <w:color w:val="auto"/>
          <w:sz w:val="20"/>
          <w:szCs w:val="20"/>
          <w:lang w:val="sr-Cyrl-BA" w:eastAsia="en-US"/>
        </w:rPr>
        <w:t>е</w:t>
      </w:r>
      <w:r w:rsidRPr="001C27A1">
        <w:rPr>
          <w:rFonts w:asciiTheme="minorHAnsi" w:eastAsiaTheme="minorHAnsi" w:hAnsiTheme="minorHAnsi"/>
          <w:color w:val="auto"/>
          <w:sz w:val="20"/>
          <w:szCs w:val="20"/>
          <w:lang w:val="sr-Latn-RS" w:eastAsia="en-US"/>
        </w:rPr>
        <w:t>кономским посљед</w:t>
      </w:r>
      <w:r w:rsidRPr="001C27A1">
        <w:rPr>
          <w:rFonts w:asciiTheme="minorHAnsi" w:eastAsiaTheme="minorHAnsi" w:hAnsiTheme="minorHAnsi"/>
          <w:color w:val="auto"/>
          <w:sz w:val="20"/>
          <w:szCs w:val="20"/>
          <w:lang w:val="sr-Cyrl-BA" w:eastAsia="en-US"/>
        </w:rPr>
        <w:t>и</w:t>
      </w:r>
      <w:r w:rsidRPr="001C27A1">
        <w:rPr>
          <w:rFonts w:asciiTheme="minorHAnsi" w:eastAsiaTheme="minorHAnsi" w:hAnsiTheme="minorHAnsi"/>
          <w:color w:val="auto"/>
          <w:sz w:val="20"/>
          <w:szCs w:val="20"/>
          <w:lang w:val="sr-Latn-RS" w:eastAsia="en-US"/>
        </w:rPr>
        <w:t xml:space="preserve">цама </w:t>
      </w:r>
      <w:r w:rsidRPr="001C27A1">
        <w:rPr>
          <w:rFonts w:asciiTheme="minorHAnsi" w:eastAsiaTheme="minorHAnsi" w:hAnsiTheme="minorHAnsi"/>
          <w:color w:val="auto"/>
          <w:sz w:val="20"/>
          <w:szCs w:val="20"/>
          <w:lang w:val="sr-Cyrl-BA" w:eastAsia="en-US"/>
        </w:rPr>
        <w:t>н</w:t>
      </w:r>
      <w:r w:rsidRPr="001C27A1">
        <w:rPr>
          <w:rFonts w:asciiTheme="minorHAnsi" w:eastAsiaTheme="minorHAnsi" w:hAnsiTheme="minorHAnsi"/>
          <w:color w:val="auto"/>
          <w:sz w:val="20"/>
          <w:szCs w:val="20"/>
          <w:lang w:val="sr-Latn-RS" w:eastAsia="en-US"/>
        </w:rPr>
        <w:t>асталим усљед болести COVID 19 изазване вирусом SARS-CoV-2.</w:t>
      </w:r>
      <w:r w:rsidRPr="001C27A1">
        <w:rPr>
          <w:rFonts w:asciiTheme="minorHAnsi" w:eastAsiaTheme="minorHAnsi" w:hAnsiTheme="minorHAnsi"/>
          <w:color w:val="auto"/>
          <w:sz w:val="20"/>
          <w:szCs w:val="20"/>
          <w:lang w:val="sr-Cyrl-RS" w:eastAsia="en-US"/>
        </w:rPr>
        <w:t xml:space="preserve"> </w:t>
      </w:r>
      <w:r w:rsidRPr="001C27A1">
        <w:rPr>
          <w:rFonts w:asciiTheme="minorHAnsi" w:eastAsiaTheme="minorHAnsi" w:hAnsiTheme="minorHAnsi"/>
          <w:sz w:val="20"/>
          <w:szCs w:val="20"/>
          <w:lang w:val="sr-Latn-RS" w:eastAsia="en-US"/>
        </w:rPr>
        <w:t>Гарантним програмом</w:t>
      </w:r>
      <w:r w:rsidRPr="001C27A1">
        <w:rPr>
          <w:rFonts w:asciiTheme="minorHAnsi" w:eastAsiaTheme="minorHAnsi" w:hAnsiTheme="minorHAnsi"/>
          <w:b/>
          <w:color w:val="auto"/>
          <w:sz w:val="20"/>
          <w:szCs w:val="20"/>
          <w:lang w:val="sr-Cyrl-BA" w:eastAsia="en-US"/>
        </w:rPr>
        <w:t xml:space="preserve"> </w:t>
      </w:r>
      <w:r w:rsidR="00615026">
        <w:rPr>
          <w:rFonts w:asciiTheme="minorHAnsi" w:eastAsiaTheme="minorHAnsi" w:hAnsiTheme="minorHAnsi"/>
          <w:color w:val="auto"/>
          <w:sz w:val="20"/>
          <w:szCs w:val="20"/>
          <w:lang w:val="sr-Latn-BA" w:eastAsia="en-US"/>
        </w:rPr>
        <w:t>COVID</w:t>
      </w:r>
      <w:r w:rsidR="00615026">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sz w:val="20"/>
          <w:szCs w:val="20"/>
          <w:lang w:val="sr-Latn-RS" w:eastAsia="en-US"/>
        </w:rPr>
        <w:t>, у име и за рачу</w:t>
      </w:r>
      <w:r w:rsidRPr="001C27A1">
        <w:rPr>
          <w:rFonts w:asciiTheme="minorHAnsi" w:eastAsiaTheme="minorHAnsi" w:hAnsiTheme="minorHAnsi"/>
          <w:sz w:val="20"/>
          <w:szCs w:val="20"/>
          <w:lang w:val="sr-Cyrl-BA" w:eastAsia="en-US"/>
        </w:rPr>
        <w:t>н</w:t>
      </w:r>
      <w:r w:rsidRPr="001C27A1">
        <w:rPr>
          <w:rFonts w:asciiTheme="minorHAnsi" w:eastAsiaTheme="minorHAnsi" w:hAnsiTheme="minorHAnsi"/>
          <w:sz w:val="20"/>
          <w:szCs w:val="20"/>
          <w:lang w:val="sr-Latn-RS" w:eastAsia="en-US"/>
        </w:rPr>
        <w:t xml:space="preserve"> Р</w:t>
      </w:r>
      <w:r w:rsidRPr="001C27A1">
        <w:rPr>
          <w:rFonts w:asciiTheme="minorHAnsi" w:eastAsiaTheme="minorHAnsi" w:hAnsiTheme="minorHAnsi"/>
          <w:sz w:val="20"/>
          <w:szCs w:val="20"/>
          <w:lang w:val="sr-Cyrl-BA" w:eastAsia="en-US"/>
        </w:rPr>
        <w:t>е</w:t>
      </w:r>
      <w:r w:rsidRPr="001C27A1">
        <w:rPr>
          <w:rFonts w:asciiTheme="minorHAnsi" w:eastAsiaTheme="minorHAnsi" w:hAnsiTheme="minorHAnsi"/>
          <w:sz w:val="20"/>
          <w:szCs w:val="20"/>
          <w:lang w:val="sr-Latn-RS" w:eastAsia="en-US"/>
        </w:rPr>
        <w:t>пуб</w:t>
      </w:r>
      <w:r w:rsidRPr="001C27A1">
        <w:rPr>
          <w:rFonts w:asciiTheme="minorHAnsi" w:eastAsiaTheme="minorHAnsi" w:hAnsiTheme="minorHAnsi"/>
          <w:sz w:val="20"/>
          <w:szCs w:val="20"/>
          <w:lang w:val="sr-Cyrl-RS" w:eastAsia="en-US"/>
        </w:rPr>
        <w:t>л</w:t>
      </w:r>
      <w:r w:rsidRPr="001C27A1">
        <w:rPr>
          <w:rFonts w:asciiTheme="minorHAnsi" w:eastAsiaTheme="minorHAnsi" w:hAnsiTheme="minorHAnsi"/>
          <w:sz w:val="20"/>
          <w:szCs w:val="20"/>
          <w:lang w:val="sr-Latn-RS" w:eastAsia="en-US"/>
        </w:rPr>
        <w:t>ике Ср</w:t>
      </w:r>
      <w:r w:rsidRPr="001C27A1">
        <w:rPr>
          <w:rFonts w:asciiTheme="minorHAnsi" w:eastAsiaTheme="minorHAnsi" w:hAnsiTheme="minorHAnsi"/>
          <w:sz w:val="20"/>
          <w:szCs w:val="20"/>
          <w:lang w:val="sr-Cyrl-RS" w:eastAsia="en-US"/>
        </w:rPr>
        <w:t>п</w:t>
      </w:r>
      <w:r w:rsidRPr="001C27A1">
        <w:rPr>
          <w:rFonts w:asciiTheme="minorHAnsi" w:eastAsiaTheme="minorHAnsi" w:hAnsiTheme="minorHAnsi"/>
          <w:sz w:val="20"/>
          <w:szCs w:val="20"/>
          <w:lang w:val="sr-Latn-RS" w:eastAsia="en-US"/>
        </w:rPr>
        <w:t>ске, управља Гарантни фонд Репу</w:t>
      </w:r>
      <w:r w:rsidRPr="001C27A1">
        <w:rPr>
          <w:rFonts w:asciiTheme="minorHAnsi" w:eastAsiaTheme="minorHAnsi" w:hAnsiTheme="minorHAnsi"/>
          <w:sz w:val="20"/>
          <w:szCs w:val="20"/>
          <w:lang w:val="sr-Cyrl-BA" w:eastAsia="en-US"/>
        </w:rPr>
        <w:t>блике</w:t>
      </w:r>
      <w:r w:rsidRPr="001C27A1">
        <w:rPr>
          <w:rFonts w:asciiTheme="minorHAnsi" w:eastAsiaTheme="minorHAnsi" w:hAnsiTheme="minorHAnsi"/>
          <w:sz w:val="20"/>
          <w:szCs w:val="20"/>
          <w:lang w:val="sr-Latn-RS" w:eastAsia="en-US"/>
        </w:rPr>
        <w:t xml:space="preserve"> Српске</w:t>
      </w:r>
      <w:r w:rsidRPr="001C27A1">
        <w:rPr>
          <w:rFonts w:asciiTheme="minorHAnsi" w:eastAsiaTheme="minorHAnsi" w:hAnsiTheme="minorHAnsi"/>
          <w:sz w:val="20"/>
          <w:szCs w:val="20"/>
          <w:lang w:val="sr-Cyrl-BA" w:eastAsia="en-US"/>
        </w:rPr>
        <w:t>.</w:t>
      </w:r>
    </w:p>
    <w:p w:rsidR="001C27A1" w:rsidRPr="001C27A1" w:rsidRDefault="001C27A1" w:rsidP="00DE601E">
      <w:pPr>
        <w:autoSpaceDE w:val="0"/>
        <w:autoSpaceDN w:val="0"/>
        <w:adjustRightInd w:val="0"/>
        <w:rPr>
          <w:rFonts w:asciiTheme="minorHAnsi" w:eastAsiaTheme="minorHAnsi" w:hAnsiTheme="minorHAnsi"/>
          <w:color w:val="auto"/>
          <w:sz w:val="20"/>
          <w:szCs w:val="20"/>
          <w:lang w:val="sr-Latn-RS" w:eastAsia="en-US"/>
        </w:rPr>
      </w:pPr>
    </w:p>
    <w:p w:rsidR="00545FA4" w:rsidRPr="001C27A1" w:rsidRDefault="00545FA4" w:rsidP="00DE601E">
      <w:pPr>
        <w:autoSpaceDE w:val="0"/>
        <w:autoSpaceDN w:val="0"/>
        <w:adjustRightInd w:val="0"/>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Latn-RS" w:eastAsia="en-US"/>
        </w:rPr>
        <w:t>Фонд је дужан да, у складу са правилима пословања Гарантног програма</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Latn-BA" w:eastAsia="en-US"/>
        </w:rPr>
        <w:t>COVID 19</w:t>
      </w:r>
      <w:r w:rsidRPr="001C27A1">
        <w:rPr>
          <w:rFonts w:asciiTheme="minorHAnsi" w:eastAsiaTheme="minorHAnsi" w:hAnsiTheme="minorHAnsi"/>
          <w:color w:val="auto"/>
          <w:sz w:val="20"/>
          <w:szCs w:val="20"/>
          <w:lang w:val="sr-Latn-RS" w:eastAsia="en-US"/>
        </w:rPr>
        <w:t>,  сачињава извјештаје о броју кредита укључених у портфолио према гранској припадности и величини привредног субјекта, о стању неотплаћене главнице кредита, очекиваним кредитним губицима и другим питањима од значаја за пројекцију буџетских расхода.</w:t>
      </w:r>
      <w:r w:rsidR="001C27A1">
        <w:rPr>
          <w:rFonts w:asciiTheme="minorHAnsi" w:eastAsiaTheme="minorHAnsi" w:hAnsiTheme="minorHAnsi"/>
          <w:color w:val="auto"/>
          <w:sz w:val="20"/>
          <w:szCs w:val="20"/>
          <w:lang w:val="sr-Cyrl-RS" w:eastAsia="en-US"/>
        </w:rPr>
        <w:t xml:space="preserve"> </w:t>
      </w:r>
      <w:r w:rsidRPr="001C27A1">
        <w:rPr>
          <w:rFonts w:asciiTheme="minorHAnsi" w:eastAsiaTheme="minorHAnsi" w:hAnsiTheme="minorHAnsi"/>
          <w:color w:val="auto"/>
          <w:sz w:val="20"/>
          <w:szCs w:val="20"/>
          <w:lang w:val="sr-Cyrl-RS" w:eastAsia="en-US"/>
        </w:rPr>
        <w:t>Фонд такође с</w:t>
      </w:r>
      <w:r w:rsidRPr="001C27A1">
        <w:rPr>
          <w:rFonts w:asciiTheme="minorHAnsi" w:eastAsiaTheme="minorHAnsi" w:hAnsiTheme="minorHAnsi"/>
          <w:color w:val="auto"/>
          <w:sz w:val="20"/>
          <w:szCs w:val="20"/>
          <w:lang w:val="sr-Latn-RS" w:eastAsia="en-US"/>
        </w:rPr>
        <w:t>ачињава књиговодствен</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исправ</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во</w:t>
      </w:r>
      <w:r w:rsidRPr="001C27A1">
        <w:rPr>
          <w:rFonts w:asciiTheme="minorHAnsi" w:eastAsiaTheme="minorHAnsi" w:hAnsiTheme="minorHAnsi"/>
          <w:color w:val="auto"/>
          <w:sz w:val="20"/>
          <w:szCs w:val="20"/>
          <w:lang w:val="sr-Cyrl-RS" w:eastAsia="en-US"/>
        </w:rPr>
        <w:t>ди</w:t>
      </w:r>
      <w:r w:rsidRPr="001C27A1">
        <w:rPr>
          <w:rFonts w:asciiTheme="minorHAnsi" w:eastAsiaTheme="minorHAnsi" w:hAnsiTheme="minorHAnsi"/>
          <w:color w:val="auto"/>
          <w:sz w:val="20"/>
          <w:szCs w:val="20"/>
          <w:lang w:val="sr-Latn-RS" w:eastAsia="en-US"/>
        </w:rPr>
        <w:t xml:space="preserve"> пословн</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књ</w:t>
      </w:r>
      <w:r w:rsidRPr="001C27A1">
        <w:rPr>
          <w:rFonts w:asciiTheme="minorHAnsi" w:eastAsiaTheme="minorHAnsi" w:hAnsiTheme="minorHAnsi"/>
          <w:color w:val="auto"/>
          <w:sz w:val="20"/>
          <w:szCs w:val="20"/>
          <w:lang w:val="sr-Cyrl-RS" w:eastAsia="en-US"/>
        </w:rPr>
        <w:t>и</w:t>
      </w:r>
      <w:r w:rsidRPr="001C27A1">
        <w:rPr>
          <w:rFonts w:asciiTheme="minorHAnsi" w:eastAsiaTheme="minorHAnsi" w:hAnsiTheme="minorHAnsi"/>
          <w:color w:val="auto"/>
          <w:sz w:val="20"/>
          <w:szCs w:val="20"/>
          <w:lang w:val="sr-Latn-RS" w:eastAsia="en-US"/>
        </w:rPr>
        <w:t>г</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 сачињава финансијск</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 друг</w:t>
      </w:r>
      <w:r w:rsidRPr="001C27A1">
        <w:rPr>
          <w:rFonts w:asciiTheme="minorHAnsi" w:eastAsiaTheme="minorHAnsi" w:hAnsiTheme="minorHAnsi"/>
          <w:color w:val="auto"/>
          <w:sz w:val="20"/>
          <w:szCs w:val="20"/>
          <w:lang w:val="sr-Cyrl-RS" w:eastAsia="en-US"/>
        </w:rPr>
        <w:t>е</w:t>
      </w:r>
      <w:r w:rsidRPr="001C27A1">
        <w:rPr>
          <w:rFonts w:asciiTheme="minorHAnsi" w:eastAsiaTheme="minorHAnsi" w:hAnsiTheme="minorHAnsi"/>
          <w:color w:val="auto"/>
          <w:sz w:val="20"/>
          <w:szCs w:val="20"/>
          <w:lang w:val="sr-Latn-RS" w:eastAsia="en-US"/>
        </w:rPr>
        <w:t xml:space="preserve"> извјештаја о спровођењу Гарантног програма.</w:t>
      </w:r>
      <w:r w:rsidRPr="001C27A1">
        <w:rPr>
          <w:rFonts w:asciiTheme="minorHAnsi" w:hAnsiTheme="minorHAnsi"/>
          <w:sz w:val="20"/>
          <w:szCs w:val="20"/>
        </w:rPr>
        <w:t xml:space="preserve"> </w:t>
      </w:r>
      <w:r w:rsidRPr="001C27A1">
        <w:rPr>
          <w:rFonts w:asciiTheme="minorHAnsi" w:eastAsiaTheme="minorHAnsi" w:hAnsiTheme="minorHAnsi"/>
          <w:color w:val="auto"/>
          <w:sz w:val="20"/>
          <w:szCs w:val="20"/>
          <w:lang w:val="sr-Latn-RS" w:eastAsia="en-US"/>
        </w:rPr>
        <w:t>Обавеза Фонда о праћењу и извјештавању о реализацији Гарантног програма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19  подршке привреди за ублажавање посљедица пандемије болести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 xml:space="preserve">19 </w:t>
      </w:r>
      <w:r w:rsidRPr="001C27A1">
        <w:rPr>
          <w:rFonts w:asciiTheme="minorHAnsi" w:eastAsiaTheme="minorHAnsi" w:hAnsiTheme="minorHAnsi"/>
          <w:color w:val="auto"/>
          <w:sz w:val="20"/>
          <w:szCs w:val="20"/>
          <w:lang w:val="sr-Cyrl-RS" w:eastAsia="en-US"/>
        </w:rPr>
        <w:t>важи</w:t>
      </w:r>
      <w:r w:rsidRPr="001C27A1">
        <w:rPr>
          <w:rFonts w:asciiTheme="minorHAnsi" w:eastAsiaTheme="minorHAnsi" w:hAnsiTheme="minorHAnsi"/>
          <w:color w:val="auto"/>
          <w:sz w:val="20"/>
          <w:szCs w:val="20"/>
          <w:lang w:val="sr-Latn-RS" w:eastAsia="en-US"/>
        </w:rPr>
        <w:t xml:space="preserve"> до истека свих гаранција изданих у оквиру Програма.</w:t>
      </w:r>
    </w:p>
    <w:p w:rsidR="00545FA4" w:rsidRPr="001C27A1" w:rsidRDefault="00545FA4" w:rsidP="00DE601E">
      <w:pPr>
        <w:rPr>
          <w:rFonts w:asciiTheme="minorHAnsi" w:eastAsiaTheme="minorHAnsi" w:hAnsiTheme="minorHAnsi"/>
          <w:b/>
          <w:color w:val="auto"/>
          <w:sz w:val="20"/>
          <w:szCs w:val="20"/>
          <w:lang w:val="sr-Cyrl-RS" w:eastAsia="en-US"/>
        </w:rPr>
      </w:pPr>
    </w:p>
    <w:p w:rsidR="00A944C8" w:rsidRPr="00185E75" w:rsidRDefault="00545FA4" w:rsidP="00DE601E">
      <w:pPr>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 xml:space="preserve">Гарантни програм подршке привреди за ублажавање посљедица пандемије болести COVID-19 је </w:t>
      </w:r>
      <w:r w:rsidR="00615026">
        <w:rPr>
          <w:rFonts w:asciiTheme="minorHAnsi" w:eastAsiaTheme="minorHAnsi" w:hAnsiTheme="minorHAnsi"/>
          <w:color w:val="auto"/>
          <w:sz w:val="20"/>
          <w:szCs w:val="20"/>
          <w:lang w:val="sr-Cyrl-BA" w:eastAsia="en-US"/>
        </w:rPr>
        <w:t>трајао до</w:t>
      </w:r>
      <w:r w:rsidRPr="001C27A1">
        <w:rPr>
          <w:rFonts w:asciiTheme="minorHAnsi" w:eastAsiaTheme="minorHAnsi" w:hAnsiTheme="minorHAnsi"/>
          <w:color w:val="auto"/>
          <w:sz w:val="20"/>
          <w:szCs w:val="20"/>
          <w:lang w:val="sr-Cyrl-BA" w:eastAsia="en-US"/>
        </w:rPr>
        <w:t xml:space="preserve"> 31.12.2022. године, </w:t>
      </w:r>
      <w:r w:rsidR="00615026">
        <w:rPr>
          <w:rFonts w:asciiTheme="minorHAnsi" w:eastAsiaTheme="minorHAnsi" w:hAnsiTheme="minorHAnsi"/>
          <w:color w:val="auto"/>
          <w:sz w:val="20"/>
          <w:szCs w:val="20"/>
          <w:lang w:val="sr-Cyrl-BA" w:eastAsia="en-US"/>
        </w:rPr>
        <w:t xml:space="preserve">у смислу да </w:t>
      </w:r>
      <w:r w:rsidRPr="001C27A1">
        <w:rPr>
          <w:rFonts w:asciiTheme="minorHAnsi" w:eastAsiaTheme="minorHAnsi" w:hAnsiTheme="minorHAnsi"/>
          <w:color w:val="auto"/>
          <w:sz w:val="20"/>
          <w:szCs w:val="20"/>
          <w:lang w:val="sr-Cyrl-BA" w:eastAsia="en-US"/>
        </w:rPr>
        <w:t>од тог тренутка није могуће ук</w:t>
      </w:r>
      <w:r w:rsidR="002B5C72">
        <w:rPr>
          <w:rFonts w:asciiTheme="minorHAnsi" w:eastAsiaTheme="minorHAnsi" w:hAnsiTheme="minorHAnsi"/>
          <w:color w:val="auto"/>
          <w:sz w:val="20"/>
          <w:szCs w:val="20"/>
          <w:lang w:val="sr-Cyrl-BA" w:eastAsia="en-US"/>
        </w:rPr>
        <w:t>ључивање нових кредита у портфолио</w:t>
      </w:r>
      <w:r w:rsidRPr="001C27A1">
        <w:rPr>
          <w:rFonts w:asciiTheme="minorHAnsi" w:eastAsiaTheme="minorHAnsi" w:hAnsiTheme="minorHAnsi"/>
          <w:color w:val="auto"/>
          <w:sz w:val="20"/>
          <w:szCs w:val="20"/>
          <w:lang w:val="sr-Cyrl-BA" w:eastAsia="en-US"/>
        </w:rPr>
        <w:t>. Изузетак су пласмани гдје је уговор о кредиту потписан до краја наведеног датума, а средства пласирана до краја јануара 2023. године.</w:t>
      </w:r>
      <w:r w:rsidR="002B5C72">
        <w:rPr>
          <w:rFonts w:asciiTheme="minorHAnsi" w:eastAsiaTheme="minorHAnsi" w:hAnsiTheme="minorHAnsi"/>
          <w:color w:val="auto"/>
          <w:sz w:val="20"/>
          <w:szCs w:val="20"/>
          <w:lang w:val="sr-Cyrl-BA" w:eastAsia="en-US"/>
        </w:rPr>
        <w:t xml:space="preserve"> У складу с тим, табела 19</w:t>
      </w:r>
      <w:r w:rsidRPr="001C27A1">
        <w:rPr>
          <w:rFonts w:asciiTheme="minorHAnsi" w:eastAsiaTheme="minorHAnsi" w:hAnsiTheme="minorHAnsi"/>
          <w:color w:val="auto"/>
          <w:sz w:val="20"/>
          <w:szCs w:val="20"/>
          <w:lang w:val="sr-Cyrl-BA" w:eastAsia="en-US"/>
        </w:rPr>
        <w:t xml:space="preserve"> даје преглед два кредита код којих је уговор потписан у децембру 2022. године, а средства исплаћена током јануара 2023. године. Укупан износ пласираних кредита је 600.000,00 КМ, док је износ припад</w:t>
      </w:r>
      <w:r w:rsidR="00185E75">
        <w:rPr>
          <w:rFonts w:asciiTheme="minorHAnsi" w:eastAsiaTheme="minorHAnsi" w:hAnsiTheme="minorHAnsi"/>
          <w:color w:val="auto"/>
          <w:sz w:val="20"/>
          <w:szCs w:val="20"/>
          <w:lang w:val="sr-Cyrl-BA" w:eastAsia="en-US"/>
        </w:rPr>
        <w:t>ајућих гаранција 420.000,00 КМ.</w:t>
      </w:r>
    </w:p>
    <w:p w:rsidR="008B5A35" w:rsidRPr="001C27A1" w:rsidRDefault="008B5A35" w:rsidP="00545FA4">
      <w:pPr>
        <w:spacing w:line="276" w:lineRule="auto"/>
        <w:rPr>
          <w:rFonts w:asciiTheme="minorHAnsi" w:eastAsiaTheme="minorHAnsi" w:hAnsiTheme="minorHAnsi"/>
          <w:color w:val="auto"/>
          <w:sz w:val="20"/>
          <w:szCs w:val="20"/>
          <w:lang w:val="sr-Cyrl-RS" w:eastAsia="en-US"/>
        </w:rPr>
      </w:pPr>
    </w:p>
    <w:p w:rsidR="00545FA4" w:rsidRPr="001C27A1" w:rsidRDefault="00545FA4" w:rsidP="00545FA4">
      <w:pPr>
        <w:spacing w:line="276" w:lineRule="auto"/>
        <w:jc w:val="center"/>
        <w:rPr>
          <w:rFonts w:asciiTheme="minorHAnsi" w:hAnsiTheme="minorHAnsi"/>
          <w:b/>
          <w:sz w:val="20"/>
          <w:szCs w:val="20"/>
          <w:lang w:val="sr-Cyrl-RS"/>
        </w:rPr>
      </w:pPr>
      <w:r w:rsidRPr="001C27A1">
        <w:rPr>
          <w:rFonts w:asciiTheme="minorHAnsi" w:hAnsiTheme="minorHAnsi"/>
          <w:b/>
          <w:sz w:val="20"/>
          <w:szCs w:val="20"/>
          <w:lang w:val="sr-Cyrl-RS"/>
        </w:rPr>
        <w:t xml:space="preserve">Преглед укупно реализованих кредита </w:t>
      </w:r>
      <w:r w:rsidRPr="001C27A1">
        <w:rPr>
          <w:rFonts w:asciiTheme="minorHAnsi" w:hAnsiTheme="minorHAnsi"/>
          <w:b/>
          <w:sz w:val="20"/>
          <w:szCs w:val="20"/>
          <w:lang w:val="sr-Cyrl-BA"/>
        </w:rPr>
        <w:t xml:space="preserve">из Програма </w:t>
      </w:r>
      <w:r w:rsidRPr="001C27A1">
        <w:rPr>
          <w:rFonts w:asciiTheme="minorHAnsi" w:hAnsiTheme="minorHAnsi"/>
          <w:b/>
          <w:sz w:val="20"/>
          <w:szCs w:val="20"/>
        </w:rPr>
        <w:t>COVID-</w:t>
      </w:r>
      <w:r w:rsidRPr="001C27A1">
        <w:rPr>
          <w:rFonts w:asciiTheme="minorHAnsi" w:hAnsiTheme="minorHAnsi"/>
          <w:b/>
          <w:sz w:val="20"/>
          <w:szCs w:val="20"/>
          <w:lang w:val="sr-Latn-BA"/>
        </w:rPr>
        <w:t>19</w:t>
      </w:r>
      <w:r w:rsidRPr="001C27A1">
        <w:rPr>
          <w:rFonts w:asciiTheme="minorHAnsi" w:hAnsiTheme="minorHAnsi"/>
          <w:b/>
          <w:sz w:val="20"/>
          <w:szCs w:val="20"/>
          <w:lang w:val="sr-Cyrl-RS"/>
        </w:rPr>
        <w:t xml:space="preserve"> по годинама </w:t>
      </w:r>
    </w:p>
    <w:p w:rsidR="00545FA4" w:rsidRPr="001C27A1" w:rsidRDefault="00545FA4" w:rsidP="00545FA4">
      <w:pPr>
        <w:spacing w:line="276" w:lineRule="auto"/>
        <w:rPr>
          <w:rFonts w:asciiTheme="minorHAnsi" w:hAnsiTheme="minorHAnsi"/>
          <w:sz w:val="20"/>
          <w:szCs w:val="20"/>
          <w:lang w:val="sr-Cyrl-RS"/>
        </w:rPr>
      </w:pP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p>
    <w:p w:rsidR="00545FA4" w:rsidRPr="001C27A1" w:rsidRDefault="002B5C72" w:rsidP="00545FA4">
      <w:pPr>
        <w:spacing w:line="276" w:lineRule="auto"/>
        <w:ind w:left="6372" w:firstLine="708"/>
        <w:rPr>
          <w:rFonts w:asciiTheme="minorHAnsi" w:hAnsiTheme="minorHAnsi"/>
          <w:b/>
          <w:color w:val="auto"/>
          <w:sz w:val="20"/>
          <w:szCs w:val="20"/>
          <w:lang w:val="sr-Cyrl-RS"/>
        </w:rPr>
      </w:pPr>
      <w:r>
        <w:rPr>
          <w:rFonts w:asciiTheme="minorHAnsi" w:hAnsiTheme="minorHAnsi"/>
          <w:b/>
          <w:color w:val="auto"/>
          <w:sz w:val="20"/>
          <w:szCs w:val="20"/>
          <w:lang w:val="sr-Cyrl-RS"/>
        </w:rPr>
        <w:t xml:space="preserve">                  </w:t>
      </w:r>
      <w:r w:rsidR="00A944C8">
        <w:rPr>
          <w:rFonts w:asciiTheme="minorHAnsi" w:hAnsiTheme="minorHAnsi"/>
          <w:b/>
          <w:color w:val="auto"/>
          <w:sz w:val="20"/>
          <w:szCs w:val="20"/>
          <w:lang w:val="sr-Cyrl-RS"/>
        </w:rPr>
        <w:t>Табела 1</w:t>
      </w:r>
      <w:r w:rsidR="0034546F">
        <w:rPr>
          <w:rFonts w:asciiTheme="minorHAnsi" w:hAnsiTheme="minorHAnsi"/>
          <w:b/>
          <w:color w:val="auto"/>
          <w:sz w:val="20"/>
          <w:szCs w:val="20"/>
          <w:lang w:val="sr-Cyrl-RS"/>
        </w:rPr>
        <w:t>3</w:t>
      </w:r>
    </w:p>
    <w:tbl>
      <w:tblPr>
        <w:tblW w:w="8804" w:type="dxa"/>
        <w:tblInd w:w="93" w:type="dxa"/>
        <w:tblLook w:val="04A0" w:firstRow="1" w:lastRow="0" w:firstColumn="1" w:lastColumn="0" w:noHBand="0" w:noVBand="1"/>
      </w:tblPr>
      <w:tblGrid>
        <w:gridCol w:w="1433"/>
        <w:gridCol w:w="1843"/>
        <w:gridCol w:w="2126"/>
        <w:gridCol w:w="1984"/>
        <w:gridCol w:w="1418"/>
      </w:tblGrid>
      <w:tr w:rsidR="00545FA4" w:rsidRPr="001C27A1" w:rsidTr="002B5C72">
        <w:trPr>
          <w:trHeight w:val="765"/>
        </w:trPr>
        <w:tc>
          <w:tcPr>
            <w:tcW w:w="1433"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Година</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Број  кредита</w:t>
            </w:r>
          </w:p>
        </w:tc>
        <w:tc>
          <w:tcPr>
            <w:tcW w:w="21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Износ кредита</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Износ гаранција</w:t>
            </w:r>
          </w:p>
        </w:tc>
        <w:tc>
          <w:tcPr>
            <w:tcW w:w="1418"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Учешће</w:t>
            </w:r>
          </w:p>
        </w:tc>
      </w:tr>
      <w:tr w:rsidR="00545FA4" w:rsidRPr="001C27A1"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2020.</w:t>
            </w:r>
          </w:p>
        </w:tc>
        <w:tc>
          <w:tcPr>
            <w:tcW w:w="1843" w:type="dxa"/>
            <w:tcBorders>
              <w:top w:val="nil"/>
              <w:left w:val="nil"/>
              <w:bottom w:val="single" w:sz="4" w:space="0" w:color="auto"/>
              <w:right w:val="single" w:sz="4" w:space="0" w:color="auto"/>
            </w:tcBorders>
            <w:noWrap/>
            <w:vAlign w:val="center"/>
            <w:hideMark/>
          </w:tcPr>
          <w:p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94</w:t>
            </w:r>
          </w:p>
        </w:tc>
        <w:tc>
          <w:tcPr>
            <w:tcW w:w="2126"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9.751.501,</w:t>
            </w:r>
            <w:r w:rsidRPr="002B5C72">
              <w:rPr>
                <w:rFonts w:asciiTheme="minorHAnsi" w:hAnsiTheme="minorHAnsi"/>
                <w:sz w:val="18"/>
                <w:szCs w:val="18"/>
                <w:lang w:val="sr-Cyrl-RS"/>
              </w:rPr>
              <w:t>0</w:t>
            </w:r>
            <w:r w:rsidRPr="002B5C72">
              <w:rPr>
                <w:rFonts w:asciiTheme="minorHAnsi" w:hAnsiTheme="minorHAnsi"/>
                <w:sz w:val="18"/>
                <w:szCs w:val="18"/>
              </w:rPr>
              <w:t>0</w:t>
            </w:r>
          </w:p>
        </w:tc>
        <w:tc>
          <w:tcPr>
            <w:tcW w:w="1984"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6.826.051,</w:t>
            </w:r>
            <w:r w:rsidRPr="002B5C72">
              <w:rPr>
                <w:rFonts w:asciiTheme="minorHAnsi" w:hAnsiTheme="minorHAnsi"/>
                <w:sz w:val="18"/>
                <w:szCs w:val="18"/>
                <w:lang w:val="sr-Cyrl-RS"/>
              </w:rPr>
              <w:t>70</w:t>
            </w:r>
          </w:p>
        </w:tc>
        <w:tc>
          <w:tcPr>
            <w:tcW w:w="1418"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16,01%</w:t>
            </w:r>
          </w:p>
        </w:tc>
      </w:tr>
      <w:tr w:rsidR="00545FA4" w:rsidRPr="001C27A1"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2021.</w:t>
            </w:r>
          </w:p>
        </w:tc>
        <w:tc>
          <w:tcPr>
            <w:tcW w:w="1843" w:type="dxa"/>
            <w:tcBorders>
              <w:top w:val="nil"/>
              <w:left w:val="nil"/>
              <w:bottom w:val="single" w:sz="4" w:space="0" w:color="auto"/>
              <w:right w:val="single" w:sz="4" w:space="0" w:color="auto"/>
            </w:tcBorders>
            <w:noWrap/>
            <w:vAlign w:val="center"/>
            <w:hideMark/>
          </w:tcPr>
          <w:p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238</w:t>
            </w:r>
          </w:p>
        </w:tc>
        <w:tc>
          <w:tcPr>
            <w:tcW w:w="2126"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32.556.</w:t>
            </w:r>
            <w:r w:rsidRPr="002B5C72">
              <w:rPr>
                <w:rFonts w:asciiTheme="minorHAnsi" w:hAnsiTheme="minorHAnsi"/>
                <w:sz w:val="18"/>
                <w:szCs w:val="18"/>
                <w:lang w:val="sr-Cyrl-RS"/>
              </w:rPr>
              <w:t>128,00</w:t>
            </w:r>
          </w:p>
        </w:tc>
        <w:tc>
          <w:tcPr>
            <w:tcW w:w="1984"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lang w:val="sr-Cyrl-RS"/>
              </w:rPr>
            </w:pPr>
            <w:r w:rsidRPr="002B5C72">
              <w:rPr>
                <w:rFonts w:asciiTheme="minorHAnsi" w:hAnsiTheme="minorHAnsi"/>
                <w:sz w:val="18"/>
                <w:szCs w:val="18"/>
              </w:rPr>
              <w:t>22.789.289,</w:t>
            </w:r>
            <w:r w:rsidRPr="002B5C72">
              <w:rPr>
                <w:rFonts w:asciiTheme="minorHAnsi" w:hAnsiTheme="minorHAnsi"/>
                <w:sz w:val="18"/>
                <w:szCs w:val="18"/>
                <w:lang w:val="sr-Cyrl-RS"/>
              </w:rPr>
              <w:t>60</w:t>
            </w:r>
          </w:p>
        </w:tc>
        <w:tc>
          <w:tcPr>
            <w:tcW w:w="1418"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rPr>
              <w:t>53,45%</w:t>
            </w:r>
          </w:p>
        </w:tc>
      </w:tr>
      <w:tr w:rsidR="00545FA4" w:rsidRPr="001C27A1" w:rsidTr="002B5C72">
        <w:trPr>
          <w:trHeight w:val="315"/>
        </w:trPr>
        <w:tc>
          <w:tcPr>
            <w:tcW w:w="1433" w:type="dxa"/>
            <w:tcBorders>
              <w:top w:val="nil"/>
              <w:left w:val="single" w:sz="4" w:space="0" w:color="auto"/>
              <w:bottom w:val="single" w:sz="4" w:space="0" w:color="auto"/>
              <w:right w:val="single" w:sz="4" w:space="0" w:color="auto"/>
            </w:tcBorders>
            <w:noWrap/>
            <w:vAlign w:val="center"/>
            <w:hideMark/>
          </w:tcPr>
          <w:p w:rsidR="00545FA4" w:rsidRPr="002B5C72" w:rsidRDefault="00545FA4" w:rsidP="002B5C72">
            <w:pPr>
              <w:jc w:val="center"/>
              <w:rPr>
                <w:rFonts w:asciiTheme="minorHAnsi" w:hAnsiTheme="minorHAnsi"/>
                <w:sz w:val="18"/>
                <w:szCs w:val="18"/>
              </w:rPr>
            </w:pPr>
            <w:r w:rsidRPr="002B5C72">
              <w:rPr>
                <w:rFonts w:asciiTheme="minorHAnsi" w:hAnsiTheme="minorHAnsi"/>
                <w:sz w:val="18"/>
                <w:szCs w:val="18"/>
              </w:rPr>
              <w:t>2022.</w:t>
            </w:r>
          </w:p>
        </w:tc>
        <w:tc>
          <w:tcPr>
            <w:tcW w:w="1843" w:type="dxa"/>
            <w:tcBorders>
              <w:top w:val="nil"/>
              <w:left w:val="nil"/>
              <w:bottom w:val="single" w:sz="4" w:space="0" w:color="auto"/>
              <w:right w:val="single" w:sz="4" w:space="0" w:color="auto"/>
            </w:tcBorders>
            <w:noWrap/>
            <w:vAlign w:val="center"/>
            <w:hideMark/>
          </w:tcPr>
          <w:p w:rsidR="00545FA4" w:rsidRPr="002B5C72" w:rsidRDefault="00545FA4" w:rsidP="00545FA4">
            <w:pPr>
              <w:jc w:val="center"/>
              <w:rPr>
                <w:rFonts w:asciiTheme="minorHAnsi" w:hAnsiTheme="minorHAnsi"/>
                <w:sz w:val="18"/>
                <w:szCs w:val="18"/>
              </w:rPr>
            </w:pPr>
            <w:r w:rsidRPr="002B5C72">
              <w:rPr>
                <w:rFonts w:asciiTheme="minorHAnsi" w:hAnsiTheme="minorHAnsi"/>
                <w:sz w:val="18"/>
                <w:szCs w:val="18"/>
              </w:rPr>
              <w:t>82</w:t>
            </w:r>
          </w:p>
        </w:tc>
        <w:tc>
          <w:tcPr>
            <w:tcW w:w="2126"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color w:val="000000" w:themeColor="text1"/>
                <w:sz w:val="18"/>
                <w:szCs w:val="18"/>
              </w:rPr>
            </w:pPr>
            <w:r w:rsidRPr="002B5C72">
              <w:rPr>
                <w:rFonts w:asciiTheme="minorHAnsi" w:hAnsiTheme="minorHAnsi"/>
                <w:color w:val="000000" w:themeColor="text1"/>
                <w:sz w:val="18"/>
                <w:szCs w:val="18"/>
              </w:rPr>
              <w:t>18.003.000,01</w:t>
            </w:r>
          </w:p>
        </w:tc>
        <w:tc>
          <w:tcPr>
            <w:tcW w:w="1984"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color w:val="000000" w:themeColor="text1"/>
                <w:sz w:val="18"/>
                <w:szCs w:val="18"/>
                <w:lang w:val="sr-Cyrl-RS"/>
              </w:rPr>
            </w:pPr>
            <w:r w:rsidRPr="002B5C72">
              <w:rPr>
                <w:rFonts w:asciiTheme="minorHAnsi" w:hAnsiTheme="minorHAnsi"/>
                <w:color w:val="000000" w:themeColor="text1"/>
                <w:sz w:val="18"/>
                <w:szCs w:val="18"/>
              </w:rPr>
              <w:t>12.602.100,0</w:t>
            </w:r>
            <w:r w:rsidRPr="002B5C72">
              <w:rPr>
                <w:rFonts w:asciiTheme="minorHAnsi" w:hAnsiTheme="minorHAnsi"/>
                <w:color w:val="000000" w:themeColor="text1"/>
                <w:sz w:val="18"/>
                <w:szCs w:val="18"/>
                <w:lang w:val="sr-Cyrl-RS"/>
              </w:rPr>
              <w:t>0</w:t>
            </w:r>
          </w:p>
        </w:tc>
        <w:tc>
          <w:tcPr>
            <w:tcW w:w="1418" w:type="dxa"/>
            <w:tcBorders>
              <w:top w:val="nil"/>
              <w:left w:val="nil"/>
              <w:bottom w:val="single" w:sz="4" w:space="0" w:color="auto"/>
              <w:right w:val="single" w:sz="4" w:space="0" w:color="auto"/>
            </w:tcBorders>
            <w:noWrap/>
            <w:vAlign w:val="center"/>
            <w:hideMark/>
          </w:tcPr>
          <w:p w:rsidR="00545FA4" w:rsidRPr="002B5C72" w:rsidRDefault="00545FA4" w:rsidP="00545FA4">
            <w:pPr>
              <w:jc w:val="right"/>
              <w:rPr>
                <w:rFonts w:asciiTheme="minorHAnsi" w:hAnsiTheme="minorHAnsi"/>
                <w:sz w:val="18"/>
                <w:szCs w:val="18"/>
              </w:rPr>
            </w:pPr>
            <w:r w:rsidRPr="002B5C72">
              <w:rPr>
                <w:rFonts w:asciiTheme="minorHAnsi" w:hAnsiTheme="minorHAnsi"/>
                <w:sz w:val="18"/>
                <w:szCs w:val="18"/>
                <w:lang w:val="sr-Cyrl-RS"/>
              </w:rPr>
              <w:t>29,56</w:t>
            </w:r>
            <w:r w:rsidRPr="002B5C72">
              <w:rPr>
                <w:rFonts w:asciiTheme="minorHAnsi" w:hAnsiTheme="minorHAnsi"/>
                <w:sz w:val="18"/>
                <w:szCs w:val="18"/>
              </w:rPr>
              <w:t>%</w:t>
            </w:r>
          </w:p>
        </w:tc>
      </w:tr>
      <w:tr w:rsidR="00545FA4" w:rsidRPr="001C27A1" w:rsidTr="002B5C72">
        <w:trPr>
          <w:trHeight w:val="315"/>
        </w:trPr>
        <w:tc>
          <w:tcPr>
            <w:tcW w:w="1433"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rsidR="00545FA4" w:rsidRPr="002B5C72" w:rsidRDefault="00545FA4" w:rsidP="002B5C72">
            <w:pPr>
              <w:jc w:val="center"/>
              <w:rPr>
                <w:rFonts w:asciiTheme="minorHAnsi" w:hAnsiTheme="minorHAnsi"/>
                <w:bCs/>
                <w:sz w:val="18"/>
                <w:szCs w:val="18"/>
              </w:rPr>
            </w:pPr>
            <w:r w:rsidRPr="002B5C72">
              <w:rPr>
                <w:rFonts w:asciiTheme="minorHAnsi" w:hAnsiTheme="minorHAnsi"/>
                <w:bCs/>
                <w:sz w:val="18"/>
                <w:szCs w:val="18"/>
              </w:rPr>
              <w:t>2023.</w:t>
            </w:r>
          </w:p>
        </w:tc>
        <w:tc>
          <w:tcPr>
            <w:tcW w:w="1843" w:type="dxa"/>
            <w:tcBorders>
              <w:top w:val="nil"/>
              <w:left w:val="nil"/>
              <w:bottom w:val="single" w:sz="4" w:space="0" w:color="auto"/>
              <w:right w:val="single" w:sz="4" w:space="0" w:color="auto"/>
            </w:tcBorders>
            <w:shd w:val="clear" w:color="auto" w:fill="F2F2F2" w:themeFill="background1" w:themeFillShade="F2"/>
            <w:noWrap/>
            <w:vAlign w:val="center"/>
          </w:tcPr>
          <w:p w:rsidR="00545FA4" w:rsidRPr="002B5C72" w:rsidRDefault="00545FA4" w:rsidP="00545FA4">
            <w:pPr>
              <w:jc w:val="center"/>
              <w:rPr>
                <w:rFonts w:asciiTheme="minorHAnsi" w:hAnsiTheme="minorHAnsi"/>
                <w:bCs/>
                <w:sz w:val="18"/>
                <w:szCs w:val="18"/>
              </w:rPr>
            </w:pPr>
            <w:r w:rsidRPr="002B5C72">
              <w:rPr>
                <w:rFonts w:asciiTheme="minorHAnsi" w:hAnsiTheme="minorHAnsi"/>
                <w:bCs/>
                <w:sz w:val="18"/>
                <w:szCs w:val="18"/>
              </w:rPr>
              <w:t>2</w:t>
            </w:r>
          </w:p>
        </w:tc>
        <w:tc>
          <w:tcPr>
            <w:tcW w:w="2126" w:type="dxa"/>
            <w:tcBorders>
              <w:top w:val="nil"/>
              <w:left w:val="nil"/>
              <w:bottom w:val="single" w:sz="4" w:space="0" w:color="auto"/>
              <w:right w:val="single" w:sz="4" w:space="0" w:color="auto"/>
            </w:tcBorders>
            <w:shd w:val="clear" w:color="auto" w:fill="F2F2F2" w:themeFill="background1" w:themeFillShade="F2"/>
            <w:noWrap/>
            <w:vAlign w:val="center"/>
          </w:tcPr>
          <w:p w:rsidR="00545FA4" w:rsidRPr="002B5C72" w:rsidRDefault="00545FA4" w:rsidP="00545FA4">
            <w:pPr>
              <w:jc w:val="right"/>
              <w:rPr>
                <w:rFonts w:asciiTheme="minorHAnsi" w:hAnsiTheme="minorHAnsi"/>
                <w:bCs/>
                <w:sz w:val="18"/>
                <w:szCs w:val="18"/>
              </w:rPr>
            </w:pPr>
            <w:r w:rsidRPr="002B5C72">
              <w:rPr>
                <w:rFonts w:asciiTheme="minorHAnsi" w:hAnsiTheme="minorHAnsi"/>
                <w:bCs/>
                <w:sz w:val="18"/>
                <w:szCs w:val="18"/>
              </w:rPr>
              <w:t>600.000,00</w:t>
            </w:r>
          </w:p>
        </w:tc>
        <w:tc>
          <w:tcPr>
            <w:tcW w:w="1984" w:type="dxa"/>
            <w:tcBorders>
              <w:top w:val="nil"/>
              <w:left w:val="nil"/>
              <w:bottom w:val="single" w:sz="4" w:space="0" w:color="auto"/>
              <w:right w:val="single" w:sz="4" w:space="0" w:color="auto"/>
            </w:tcBorders>
            <w:shd w:val="clear" w:color="auto" w:fill="F2F2F2" w:themeFill="background1" w:themeFillShade="F2"/>
            <w:noWrap/>
            <w:vAlign w:val="center"/>
          </w:tcPr>
          <w:p w:rsidR="00545FA4" w:rsidRPr="002B5C72" w:rsidRDefault="00545FA4" w:rsidP="00545FA4">
            <w:pPr>
              <w:jc w:val="right"/>
              <w:rPr>
                <w:rFonts w:asciiTheme="minorHAnsi" w:hAnsiTheme="minorHAnsi"/>
                <w:bCs/>
                <w:sz w:val="18"/>
                <w:szCs w:val="18"/>
              </w:rPr>
            </w:pPr>
            <w:r w:rsidRPr="002B5C72">
              <w:rPr>
                <w:rFonts w:asciiTheme="minorHAnsi" w:hAnsiTheme="minorHAnsi"/>
                <w:bCs/>
                <w:sz w:val="18"/>
                <w:szCs w:val="18"/>
              </w:rPr>
              <w:t>420.000,00</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tcPr>
          <w:p w:rsidR="00545FA4" w:rsidRPr="002B5C72" w:rsidRDefault="00545FA4" w:rsidP="00545FA4">
            <w:pPr>
              <w:jc w:val="right"/>
              <w:rPr>
                <w:rFonts w:asciiTheme="minorHAnsi" w:hAnsiTheme="minorHAnsi"/>
                <w:bCs/>
                <w:sz w:val="18"/>
                <w:szCs w:val="18"/>
                <w:lang w:val="sr-Cyrl-RS"/>
              </w:rPr>
            </w:pPr>
            <w:r w:rsidRPr="002B5C72">
              <w:rPr>
                <w:rFonts w:asciiTheme="minorHAnsi" w:hAnsiTheme="minorHAnsi"/>
                <w:bCs/>
                <w:sz w:val="18"/>
                <w:szCs w:val="18"/>
                <w:lang w:val="sr-Cyrl-RS"/>
              </w:rPr>
              <w:t>0,98%</w:t>
            </w:r>
          </w:p>
        </w:tc>
      </w:tr>
      <w:tr w:rsidR="00545FA4" w:rsidRPr="001C27A1" w:rsidTr="00615026">
        <w:trPr>
          <w:trHeight w:val="315"/>
        </w:trPr>
        <w:tc>
          <w:tcPr>
            <w:tcW w:w="1433" w:type="dxa"/>
            <w:tcBorders>
              <w:top w:val="nil"/>
              <w:left w:val="single" w:sz="4" w:space="0" w:color="auto"/>
              <w:bottom w:val="single" w:sz="4" w:space="0" w:color="auto"/>
              <w:right w:val="single" w:sz="4" w:space="0" w:color="auto"/>
            </w:tcBorders>
            <w:shd w:val="clear" w:color="auto" w:fill="8DB3E2" w:themeFill="text2" w:themeFillTint="66"/>
            <w:noWrap/>
            <w:hideMark/>
          </w:tcPr>
          <w:p w:rsidR="00545FA4" w:rsidRPr="002B5C72" w:rsidRDefault="00545FA4" w:rsidP="00615026">
            <w:pPr>
              <w:jc w:val="center"/>
              <w:rPr>
                <w:rFonts w:asciiTheme="minorHAnsi" w:hAnsiTheme="minorHAnsi"/>
                <w:b/>
                <w:bCs/>
                <w:sz w:val="18"/>
                <w:szCs w:val="18"/>
              </w:rPr>
            </w:pPr>
            <w:r w:rsidRPr="002B5C72">
              <w:rPr>
                <w:rFonts w:asciiTheme="minorHAnsi" w:hAnsiTheme="minorHAnsi"/>
                <w:b/>
                <w:bCs/>
                <w:sz w:val="18"/>
                <w:szCs w:val="18"/>
                <w:lang w:val="sr-Cyrl-BA"/>
              </w:rPr>
              <w:t>Укупно</w:t>
            </w:r>
          </w:p>
        </w:tc>
        <w:tc>
          <w:tcPr>
            <w:tcW w:w="1843" w:type="dxa"/>
            <w:tcBorders>
              <w:top w:val="nil"/>
              <w:left w:val="nil"/>
              <w:bottom w:val="single" w:sz="4" w:space="0" w:color="auto"/>
              <w:right w:val="single" w:sz="4" w:space="0" w:color="auto"/>
            </w:tcBorders>
            <w:shd w:val="clear" w:color="auto" w:fill="8DB3E2" w:themeFill="text2" w:themeFillTint="66"/>
            <w:noWrap/>
            <w:vAlign w:val="center"/>
            <w:hideMark/>
          </w:tcPr>
          <w:p w:rsidR="00545FA4" w:rsidRPr="002B5C72" w:rsidRDefault="00545FA4" w:rsidP="00545FA4">
            <w:pPr>
              <w:jc w:val="center"/>
              <w:rPr>
                <w:rFonts w:asciiTheme="minorHAnsi" w:hAnsiTheme="minorHAnsi"/>
                <w:b/>
                <w:bCs/>
                <w:sz w:val="18"/>
                <w:szCs w:val="18"/>
              </w:rPr>
            </w:pPr>
            <w:r w:rsidRPr="002B5C72">
              <w:rPr>
                <w:rFonts w:asciiTheme="minorHAnsi" w:hAnsiTheme="minorHAnsi"/>
                <w:b/>
                <w:bCs/>
                <w:sz w:val="18"/>
                <w:szCs w:val="18"/>
              </w:rPr>
              <w:t>416</w:t>
            </w:r>
          </w:p>
        </w:tc>
        <w:tc>
          <w:tcPr>
            <w:tcW w:w="2126" w:type="dxa"/>
            <w:tcBorders>
              <w:top w:val="nil"/>
              <w:left w:val="nil"/>
              <w:bottom w:val="single" w:sz="4" w:space="0" w:color="auto"/>
              <w:right w:val="single" w:sz="4" w:space="0" w:color="auto"/>
            </w:tcBorders>
            <w:shd w:val="clear" w:color="auto" w:fill="8DB3E2" w:themeFill="text2" w:themeFillTint="66"/>
            <w:noWrap/>
            <w:vAlign w:val="center"/>
            <w:hideMark/>
          </w:tcPr>
          <w:p w:rsidR="00545FA4" w:rsidRPr="002B5C72" w:rsidRDefault="00545FA4" w:rsidP="00545FA4">
            <w:pPr>
              <w:jc w:val="right"/>
              <w:rPr>
                <w:rFonts w:asciiTheme="minorHAnsi" w:hAnsiTheme="minorHAnsi"/>
                <w:b/>
                <w:bCs/>
                <w:sz w:val="18"/>
                <w:szCs w:val="18"/>
                <w:lang w:val="sr-Cyrl-RS"/>
              </w:rPr>
            </w:pPr>
            <w:r w:rsidRPr="002B5C72">
              <w:rPr>
                <w:rFonts w:asciiTheme="minorHAnsi" w:hAnsiTheme="minorHAnsi"/>
                <w:b/>
                <w:bCs/>
                <w:sz w:val="18"/>
                <w:szCs w:val="18"/>
              </w:rPr>
              <w:t>60.910.629,</w:t>
            </w:r>
            <w:r w:rsidRPr="002B5C72">
              <w:rPr>
                <w:rFonts w:asciiTheme="minorHAnsi" w:hAnsiTheme="minorHAnsi"/>
                <w:b/>
                <w:bCs/>
                <w:sz w:val="18"/>
                <w:szCs w:val="18"/>
                <w:lang w:val="sr-Cyrl-RS"/>
              </w:rPr>
              <w:t>00</w:t>
            </w:r>
          </w:p>
        </w:tc>
        <w:tc>
          <w:tcPr>
            <w:tcW w:w="1984" w:type="dxa"/>
            <w:tcBorders>
              <w:top w:val="nil"/>
              <w:left w:val="nil"/>
              <w:bottom w:val="single" w:sz="4" w:space="0" w:color="auto"/>
              <w:right w:val="single" w:sz="4" w:space="0" w:color="auto"/>
            </w:tcBorders>
            <w:shd w:val="clear" w:color="auto" w:fill="8DB3E2" w:themeFill="text2" w:themeFillTint="66"/>
            <w:noWrap/>
            <w:vAlign w:val="center"/>
            <w:hideMark/>
          </w:tcPr>
          <w:p w:rsidR="00545FA4" w:rsidRPr="002B5C72" w:rsidRDefault="00545FA4" w:rsidP="00545FA4">
            <w:pPr>
              <w:jc w:val="right"/>
              <w:rPr>
                <w:rFonts w:asciiTheme="minorHAnsi" w:hAnsiTheme="minorHAnsi"/>
                <w:b/>
                <w:bCs/>
                <w:sz w:val="18"/>
                <w:szCs w:val="18"/>
                <w:lang w:val="sr-Cyrl-RS"/>
              </w:rPr>
            </w:pPr>
            <w:r w:rsidRPr="002B5C72">
              <w:rPr>
                <w:rFonts w:asciiTheme="minorHAnsi" w:hAnsiTheme="minorHAnsi"/>
                <w:b/>
                <w:bCs/>
                <w:sz w:val="18"/>
                <w:szCs w:val="18"/>
              </w:rPr>
              <w:t>42.637.440,</w:t>
            </w:r>
            <w:r w:rsidRPr="002B5C72">
              <w:rPr>
                <w:rFonts w:asciiTheme="minorHAnsi" w:hAnsiTheme="minorHAnsi"/>
                <w:b/>
                <w:bCs/>
                <w:sz w:val="18"/>
                <w:szCs w:val="18"/>
                <w:lang w:val="sr-Cyrl-RS"/>
              </w:rPr>
              <w:t>30</w:t>
            </w:r>
          </w:p>
        </w:tc>
        <w:tc>
          <w:tcPr>
            <w:tcW w:w="1418" w:type="dxa"/>
            <w:tcBorders>
              <w:top w:val="nil"/>
              <w:left w:val="nil"/>
              <w:bottom w:val="single" w:sz="4" w:space="0" w:color="auto"/>
              <w:right w:val="single" w:sz="4" w:space="0" w:color="auto"/>
            </w:tcBorders>
            <w:shd w:val="clear" w:color="auto" w:fill="8DB3E2" w:themeFill="text2" w:themeFillTint="66"/>
            <w:noWrap/>
            <w:vAlign w:val="center"/>
            <w:hideMark/>
          </w:tcPr>
          <w:p w:rsidR="00545FA4" w:rsidRPr="002B5C72" w:rsidRDefault="00545FA4" w:rsidP="00545FA4">
            <w:pPr>
              <w:jc w:val="right"/>
              <w:rPr>
                <w:rFonts w:asciiTheme="minorHAnsi" w:hAnsiTheme="minorHAnsi"/>
                <w:b/>
                <w:bCs/>
                <w:sz w:val="18"/>
                <w:szCs w:val="18"/>
              </w:rPr>
            </w:pPr>
            <w:r w:rsidRPr="002B5C72">
              <w:rPr>
                <w:rFonts w:asciiTheme="minorHAnsi" w:hAnsiTheme="minorHAnsi"/>
                <w:b/>
                <w:bCs/>
                <w:sz w:val="18"/>
                <w:szCs w:val="18"/>
              </w:rPr>
              <w:t>100,00%</w:t>
            </w:r>
          </w:p>
        </w:tc>
      </w:tr>
    </w:tbl>
    <w:p w:rsidR="00545FA4" w:rsidRPr="001C27A1" w:rsidRDefault="00545FA4" w:rsidP="00DE601E">
      <w:pPr>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RS" w:eastAsia="en-US"/>
        </w:rPr>
        <w:t xml:space="preserve"> </w:t>
      </w:r>
    </w:p>
    <w:p w:rsidR="00DE601E" w:rsidRDefault="00DE601E" w:rsidP="00DE601E">
      <w:pPr>
        <w:rPr>
          <w:rFonts w:asciiTheme="minorHAnsi" w:eastAsiaTheme="minorHAnsi" w:hAnsiTheme="minorHAnsi"/>
          <w:color w:val="auto"/>
          <w:sz w:val="20"/>
          <w:szCs w:val="20"/>
          <w:lang w:val="sr-Cyrl-RS" w:eastAsia="en-US"/>
        </w:rPr>
      </w:pPr>
    </w:p>
    <w:p w:rsidR="00DE601E" w:rsidRDefault="00DE601E" w:rsidP="00DE601E">
      <w:pPr>
        <w:rPr>
          <w:rFonts w:asciiTheme="minorHAnsi" w:eastAsiaTheme="minorHAnsi" w:hAnsiTheme="minorHAnsi"/>
          <w:color w:val="auto"/>
          <w:sz w:val="20"/>
          <w:szCs w:val="20"/>
          <w:lang w:val="sr-Cyrl-RS" w:eastAsia="en-US"/>
        </w:rPr>
      </w:pPr>
    </w:p>
    <w:p w:rsidR="00545FA4" w:rsidRPr="001C27A1" w:rsidRDefault="00545FA4" w:rsidP="00DE601E">
      <w:pPr>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RS" w:eastAsia="en-US"/>
        </w:rPr>
        <w:t xml:space="preserve">Од почетка Гарантног програма у септембру 2020. године до краја јануара 2023. године, који је био последњи могући мјесец за укључење кредита у портфељ, у оквиру Програма је пласирано 416 кредита укупног износа 60.910.629,71 КМ, гдје припадајуће гаранције износе 42.637.440,80 КМ. Од укупно пласираних кредита и гаранција за цијели период реализације </w:t>
      </w:r>
      <w:r w:rsidRPr="001C27A1">
        <w:rPr>
          <w:rFonts w:asciiTheme="minorHAnsi" w:eastAsiaTheme="minorHAnsi" w:hAnsiTheme="minorHAnsi"/>
          <w:color w:val="auto"/>
          <w:sz w:val="20"/>
          <w:szCs w:val="20"/>
          <w:lang w:val="sr-Cyrl-BA" w:eastAsia="en-US"/>
        </w:rPr>
        <w:t xml:space="preserve">Гарантног програма </w:t>
      </w:r>
      <w:r w:rsidRPr="001C27A1">
        <w:rPr>
          <w:rFonts w:asciiTheme="minorHAnsi" w:eastAsiaTheme="minorHAnsi" w:hAnsiTheme="minorHAnsi"/>
          <w:color w:val="auto"/>
          <w:sz w:val="20"/>
          <w:szCs w:val="20"/>
          <w:lang w:val="sr-Latn-BA" w:eastAsia="en-US"/>
        </w:rPr>
        <w:t xml:space="preserve">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Cyrl-RS" w:eastAsia="en-US"/>
        </w:rPr>
        <w:t xml:space="preserve"> највише их је пласирано у 2021. години (53,45%).</w:t>
      </w:r>
    </w:p>
    <w:p w:rsidR="00545FA4" w:rsidRPr="001C27A1" w:rsidRDefault="00545FA4" w:rsidP="00DE601E">
      <w:pPr>
        <w:jc w:val="center"/>
        <w:rPr>
          <w:rFonts w:asciiTheme="minorHAnsi" w:eastAsiaTheme="minorHAnsi" w:hAnsiTheme="minorHAnsi"/>
          <w:color w:val="auto"/>
          <w:sz w:val="20"/>
          <w:szCs w:val="20"/>
          <w:lang w:val="sr-Cyrl-RS" w:eastAsia="en-US"/>
        </w:rPr>
      </w:pPr>
      <w:r w:rsidRPr="001C27A1">
        <w:rPr>
          <w:rFonts w:asciiTheme="minorHAnsi" w:eastAsiaTheme="minorHAnsi" w:hAnsiTheme="minorHAnsi"/>
          <w:b/>
          <w:color w:val="auto"/>
          <w:sz w:val="20"/>
          <w:szCs w:val="20"/>
          <w:lang w:val="sr-Cyrl-RS" w:eastAsia="en-US"/>
        </w:rPr>
        <w:br/>
        <w:t xml:space="preserve">Преглед реализованих кредита </w:t>
      </w:r>
      <w:r w:rsidRPr="001C27A1">
        <w:rPr>
          <w:rFonts w:asciiTheme="minorHAnsi" w:eastAsiaTheme="minorHAnsi" w:hAnsiTheme="minorHAnsi"/>
          <w:b/>
          <w:color w:val="auto"/>
          <w:sz w:val="20"/>
          <w:szCs w:val="20"/>
          <w:lang w:val="sr-Cyrl-BA" w:eastAsia="en-US"/>
        </w:rPr>
        <w:t xml:space="preserve">из Програма </w:t>
      </w:r>
      <w:r w:rsidRPr="001C27A1">
        <w:rPr>
          <w:rFonts w:asciiTheme="minorHAnsi" w:eastAsiaTheme="minorHAnsi" w:hAnsiTheme="minorHAnsi"/>
          <w:b/>
          <w:color w:val="auto"/>
          <w:sz w:val="20"/>
          <w:szCs w:val="20"/>
          <w:lang w:val="sr-Latn-BA" w:eastAsia="en-US"/>
        </w:rPr>
        <w:t>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19</w:t>
      </w:r>
      <w:r w:rsidRPr="001C27A1">
        <w:rPr>
          <w:rFonts w:asciiTheme="minorHAnsi" w:eastAsiaTheme="minorHAnsi" w:hAnsiTheme="minorHAnsi"/>
          <w:b/>
          <w:color w:val="auto"/>
          <w:sz w:val="20"/>
          <w:szCs w:val="20"/>
          <w:lang w:val="sr-Cyrl-RS" w:eastAsia="en-US"/>
        </w:rPr>
        <w:t xml:space="preserve"> по финансијским посредницима у периоду 2020. - 2023. година</w:t>
      </w:r>
    </w:p>
    <w:p w:rsidR="00545FA4" w:rsidRPr="001C27A1" w:rsidRDefault="00545FA4" w:rsidP="00DE601E">
      <w:pPr>
        <w:rPr>
          <w:rFonts w:asciiTheme="minorHAnsi" w:eastAsiaTheme="minorHAnsi" w:hAnsiTheme="minorHAnsi"/>
          <w:b/>
          <w:color w:val="auto"/>
          <w:sz w:val="20"/>
          <w:szCs w:val="20"/>
          <w:lang w:val="sr-Cyrl-RS" w:eastAsia="en-US"/>
        </w:rPr>
      </w:pP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t xml:space="preserve">                </w:t>
      </w:r>
      <w:r w:rsidR="00A944C8">
        <w:rPr>
          <w:rFonts w:asciiTheme="minorHAnsi" w:eastAsiaTheme="minorHAnsi" w:hAnsiTheme="minorHAnsi"/>
          <w:b/>
          <w:color w:val="auto"/>
          <w:sz w:val="20"/>
          <w:szCs w:val="20"/>
          <w:lang w:val="sr-Cyrl-RS" w:eastAsia="en-US"/>
        </w:rPr>
        <w:t>Табела 1</w:t>
      </w:r>
      <w:r w:rsidR="0034546F">
        <w:rPr>
          <w:rFonts w:asciiTheme="minorHAnsi" w:eastAsiaTheme="minorHAnsi" w:hAnsiTheme="minorHAnsi"/>
          <w:b/>
          <w:color w:val="auto"/>
          <w:sz w:val="20"/>
          <w:szCs w:val="20"/>
          <w:lang w:val="sr-Cyrl-RS" w:eastAsia="en-US"/>
        </w:rPr>
        <w:t>4</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039"/>
        <w:gridCol w:w="1551"/>
        <w:gridCol w:w="1560"/>
        <w:gridCol w:w="1275"/>
      </w:tblGrid>
      <w:tr w:rsidR="00545FA4" w:rsidRPr="001C27A1" w:rsidTr="002B5C72">
        <w:trPr>
          <w:trHeight w:val="644"/>
        </w:trPr>
        <w:tc>
          <w:tcPr>
            <w:tcW w:w="3364" w:type="dxa"/>
            <w:shd w:val="clear" w:color="auto" w:fill="8DB3E2" w:themeFill="text2" w:themeFillTint="66"/>
            <w:noWrap/>
            <w:vAlign w:val="center"/>
            <w:hideMark/>
          </w:tcPr>
          <w:p w:rsidR="00545FA4" w:rsidRPr="002B5C72" w:rsidRDefault="00545FA4" w:rsidP="00DE601E">
            <w:pPr>
              <w:jc w:val="center"/>
              <w:rPr>
                <w:rFonts w:asciiTheme="minorHAnsi" w:hAnsiTheme="minorHAnsi"/>
                <w:b/>
                <w:bCs/>
                <w:sz w:val="18"/>
                <w:szCs w:val="18"/>
              </w:rPr>
            </w:pPr>
            <w:r w:rsidRPr="002B5C72">
              <w:rPr>
                <w:rFonts w:asciiTheme="minorHAnsi" w:hAnsiTheme="minorHAnsi"/>
                <w:b/>
                <w:bCs/>
                <w:sz w:val="18"/>
                <w:szCs w:val="18"/>
                <w:lang w:val="sr-Cyrl-BA"/>
              </w:rPr>
              <w:t>Финансијски посредник</w:t>
            </w:r>
          </w:p>
        </w:tc>
        <w:tc>
          <w:tcPr>
            <w:tcW w:w="1039" w:type="dxa"/>
            <w:shd w:val="clear" w:color="auto" w:fill="8DB3E2" w:themeFill="text2" w:themeFillTint="66"/>
            <w:vAlign w:val="center"/>
          </w:tcPr>
          <w:p w:rsidR="00545FA4" w:rsidRPr="002B5C72" w:rsidRDefault="00545FA4" w:rsidP="00DE601E">
            <w:pPr>
              <w:jc w:val="center"/>
              <w:rPr>
                <w:rFonts w:asciiTheme="minorHAnsi" w:hAnsiTheme="minorHAnsi"/>
                <w:b/>
                <w:bCs/>
                <w:sz w:val="18"/>
                <w:szCs w:val="18"/>
                <w:lang w:val="sr-Cyrl-RS"/>
              </w:rPr>
            </w:pPr>
            <w:r w:rsidRPr="002B5C72">
              <w:rPr>
                <w:rFonts w:asciiTheme="minorHAnsi" w:hAnsiTheme="minorHAnsi"/>
                <w:b/>
                <w:bCs/>
                <w:sz w:val="18"/>
                <w:szCs w:val="18"/>
                <w:lang w:val="sr-Cyrl-RS"/>
              </w:rPr>
              <w:t>Број гаранција</w:t>
            </w:r>
          </w:p>
        </w:tc>
        <w:tc>
          <w:tcPr>
            <w:tcW w:w="1551" w:type="dxa"/>
            <w:shd w:val="clear" w:color="auto" w:fill="8DB3E2" w:themeFill="text2" w:themeFillTint="66"/>
            <w:noWrap/>
            <w:vAlign w:val="center"/>
            <w:hideMark/>
          </w:tcPr>
          <w:p w:rsidR="00545FA4" w:rsidRPr="002B5C72" w:rsidRDefault="00545FA4" w:rsidP="00DE601E">
            <w:pPr>
              <w:jc w:val="center"/>
              <w:rPr>
                <w:rFonts w:asciiTheme="minorHAnsi" w:hAnsiTheme="minorHAnsi"/>
                <w:b/>
                <w:bCs/>
                <w:sz w:val="18"/>
                <w:szCs w:val="18"/>
              </w:rPr>
            </w:pPr>
            <w:r w:rsidRPr="002B5C72">
              <w:rPr>
                <w:rFonts w:asciiTheme="minorHAnsi" w:hAnsiTheme="minorHAnsi"/>
                <w:b/>
                <w:bCs/>
                <w:sz w:val="18"/>
                <w:szCs w:val="18"/>
              </w:rPr>
              <w:t>Износ кредита</w:t>
            </w:r>
          </w:p>
        </w:tc>
        <w:tc>
          <w:tcPr>
            <w:tcW w:w="1560" w:type="dxa"/>
            <w:shd w:val="clear" w:color="auto" w:fill="8DB3E2" w:themeFill="text2" w:themeFillTint="66"/>
            <w:noWrap/>
            <w:vAlign w:val="center"/>
            <w:hideMark/>
          </w:tcPr>
          <w:p w:rsidR="00545FA4" w:rsidRPr="002B5C72" w:rsidRDefault="00545FA4" w:rsidP="00DE601E">
            <w:pPr>
              <w:jc w:val="center"/>
              <w:rPr>
                <w:rFonts w:asciiTheme="minorHAnsi" w:hAnsiTheme="minorHAnsi"/>
                <w:b/>
                <w:bCs/>
                <w:sz w:val="18"/>
                <w:szCs w:val="18"/>
              </w:rPr>
            </w:pPr>
            <w:r w:rsidRPr="002B5C72">
              <w:rPr>
                <w:rFonts w:asciiTheme="minorHAnsi" w:hAnsiTheme="minorHAnsi"/>
                <w:b/>
                <w:bCs/>
                <w:sz w:val="18"/>
                <w:szCs w:val="18"/>
              </w:rPr>
              <w:t>Износ гаранције</w:t>
            </w:r>
          </w:p>
        </w:tc>
        <w:tc>
          <w:tcPr>
            <w:tcW w:w="1275" w:type="dxa"/>
            <w:shd w:val="clear" w:color="auto" w:fill="8DB3E2" w:themeFill="text2" w:themeFillTint="66"/>
            <w:vAlign w:val="center"/>
            <w:hideMark/>
          </w:tcPr>
          <w:p w:rsidR="00545FA4" w:rsidRPr="002B5C72" w:rsidRDefault="00545FA4" w:rsidP="00DE601E">
            <w:pPr>
              <w:jc w:val="center"/>
              <w:rPr>
                <w:rFonts w:asciiTheme="minorHAnsi" w:hAnsiTheme="minorHAnsi"/>
                <w:b/>
                <w:bCs/>
                <w:sz w:val="18"/>
                <w:szCs w:val="18"/>
              </w:rPr>
            </w:pPr>
            <w:r w:rsidRPr="002B5C72">
              <w:rPr>
                <w:rFonts w:asciiTheme="minorHAnsi" w:hAnsiTheme="minorHAnsi"/>
                <w:b/>
                <w:bCs/>
                <w:sz w:val="18"/>
                <w:szCs w:val="18"/>
              </w:rPr>
              <w:t>Учешће у укупн</w:t>
            </w:r>
            <w:r w:rsidRPr="002B5C72">
              <w:rPr>
                <w:rFonts w:asciiTheme="minorHAnsi" w:hAnsiTheme="minorHAnsi"/>
                <w:b/>
                <w:bCs/>
                <w:sz w:val="18"/>
                <w:szCs w:val="18"/>
                <w:lang w:val="sr-Cyrl-BA"/>
              </w:rPr>
              <w:t>им</w:t>
            </w:r>
            <w:r w:rsidRPr="002B5C72">
              <w:rPr>
                <w:rFonts w:asciiTheme="minorHAnsi" w:hAnsiTheme="minorHAnsi"/>
                <w:b/>
                <w:bCs/>
                <w:sz w:val="18"/>
                <w:szCs w:val="18"/>
              </w:rPr>
              <w:t xml:space="preserve"> </w:t>
            </w:r>
            <w:r w:rsidRPr="002B5C72">
              <w:rPr>
                <w:rFonts w:asciiTheme="minorHAnsi" w:hAnsiTheme="minorHAnsi"/>
                <w:b/>
                <w:bCs/>
                <w:sz w:val="18"/>
                <w:szCs w:val="18"/>
                <w:lang w:val="sr-Cyrl-BA"/>
              </w:rPr>
              <w:t>кредитима</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Procredit bank д.д. Сарајево</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188</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34.171.000,00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23.919.700,00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56,10%</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 xml:space="preserve">Мф банка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85</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12.632.700,00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8.842.890,00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20,74%</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 xml:space="preserve">Unicredit bank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52</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6.145.300,00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4.301.710,00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10,09%</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 xml:space="preserve">Нова банка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38</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4.398.000,00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3.078.600,00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7,22%</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 xml:space="preserve">Raiffeisen bank д.д. </w:t>
            </w:r>
            <w:r w:rsidRPr="002B5C72">
              <w:rPr>
                <w:rFonts w:asciiTheme="minorHAnsi" w:hAnsiTheme="minorHAnsi"/>
                <w:sz w:val="18"/>
                <w:szCs w:val="18"/>
                <w:lang w:val="sr-Cyrl-BA"/>
              </w:rPr>
              <w:t>Сарајево</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11</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1.560.000,00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1.092.000,00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2,56%</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 xml:space="preserve">Atos bank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24</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1.060.628,00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742.439,60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1,74%</w:t>
            </w:r>
          </w:p>
        </w:tc>
      </w:tr>
      <w:tr w:rsidR="00545FA4" w:rsidRPr="001C27A1" w:rsidTr="00545FA4">
        <w:trPr>
          <w:trHeight w:val="315"/>
        </w:trPr>
        <w:tc>
          <w:tcPr>
            <w:tcW w:w="3364" w:type="dxa"/>
            <w:shd w:val="clear" w:color="auto" w:fill="auto"/>
            <w:noWrap/>
            <w:vAlign w:val="center"/>
            <w:hideMark/>
          </w:tcPr>
          <w:p w:rsidR="00545FA4" w:rsidRPr="002B5C72" w:rsidRDefault="00545FA4" w:rsidP="00DE601E">
            <w:pPr>
              <w:jc w:val="left"/>
              <w:rPr>
                <w:rFonts w:asciiTheme="minorHAnsi" w:hAnsiTheme="minorHAnsi"/>
                <w:caps/>
                <w:sz w:val="18"/>
                <w:szCs w:val="18"/>
              </w:rPr>
            </w:pPr>
            <w:r w:rsidRPr="002B5C72">
              <w:rPr>
                <w:rFonts w:asciiTheme="minorHAnsi" w:hAnsiTheme="minorHAnsi"/>
                <w:sz w:val="18"/>
                <w:szCs w:val="18"/>
              </w:rPr>
              <w:t xml:space="preserve">Банка поштанска штедионица а.д. Бања </w:t>
            </w:r>
            <w:r w:rsidRPr="002B5C72">
              <w:rPr>
                <w:rFonts w:asciiTheme="minorHAnsi" w:hAnsiTheme="minorHAnsi"/>
                <w:sz w:val="18"/>
                <w:szCs w:val="18"/>
                <w:lang w:val="sr-Cyrl-RS"/>
              </w:rPr>
              <w:t>Л</w:t>
            </w:r>
            <w:r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11</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588.000,00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411.600,00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0,97%</w:t>
            </w:r>
          </w:p>
        </w:tc>
      </w:tr>
      <w:tr w:rsidR="00545FA4" w:rsidRPr="001C27A1" w:rsidTr="00545FA4">
        <w:trPr>
          <w:trHeight w:val="315"/>
        </w:trPr>
        <w:tc>
          <w:tcPr>
            <w:tcW w:w="3364" w:type="dxa"/>
            <w:shd w:val="clear" w:color="auto" w:fill="auto"/>
            <w:noWrap/>
            <w:vAlign w:val="center"/>
            <w:hideMark/>
          </w:tcPr>
          <w:p w:rsidR="00545FA4" w:rsidRPr="002B5C72" w:rsidRDefault="002B5C72" w:rsidP="00DE601E">
            <w:pPr>
              <w:jc w:val="left"/>
              <w:rPr>
                <w:rFonts w:asciiTheme="minorHAnsi" w:hAnsiTheme="minorHAnsi"/>
                <w:caps/>
                <w:sz w:val="18"/>
                <w:szCs w:val="18"/>
              </w:rPr>
            </w:pPr>
            <w:r>
              <w:rPr>
                <w:rFonts w:asciiTheme="minorHAnsi" w:hAnsiTheme="minorHAnsi"/>
                <w:sz w:val="18"/>
                <w:szCs w:val="18"/>
              </w:rPr>
              <w:t>Н</w:t>
            </w:r>
            <w:r>
              <w:rPr>
                <w:rFonts w:asciiTheme="minorHAnsi" w:hAnsiTheme="minorHAnsi"/>
                <w:sz w:val="18"/>
                <w:szCs w:val="18"/>
                <w:lang w:val="sr-Cyrl-RS"/>
              </w:rPr>
              <w:t>ЛБ</w:t>
            </w:r>
            <w:r w:rsidR="00545FA4" w:rsidRPr="002B5C72">
              <w:rPr>
                <w:rFonts w:asciiTheme="minorHAnsi" w:hAnsiTheme="minorHAnsi"/>
                <w:sz w:val="18"/>
                <w:szCs w:val="18"/>
              </w:rPr>
              <w:t xml:space="preserve"> банка а.д. Бања </w:t>
            </w:r>
            <w:r w:rsidR="00545FA4" w:rsidRPr="002B5C72">
              <w:rPr>
                <w:rFonts w:asciiTheme="minorHAnsi" w:hAnsiTheme="minorHAnsi"/>
                <w:sz w:val="18"/>
                <w:szCs w:val="18"/>
                <w:lang w:val="sr-Cyrl-RS"/>
              </w:rPr>
              <w:t>Л</w:t>
            </w:r>
            <w:r w:rsidR="00545FA4"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5</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340.000,00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238.000,00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0,56%</w:t>
            </w:r>
          </w:p>
        </w:tc>
      </w:tr>
      <w:tr w:rsidR="00545FA4" w:rsidRPr="001C27A1" w:rsidTr="00545FA4">
        <w:trPr>
          <w:trHeight w:val="315"/>
        </w:trPr>
        <w:tc>
          <w:tcPr>
            <w:tcW w:w="3364" w:type="dxa"/>
            <w:shd w:val="clear" w:color="auto" w:fill="auto"/>
            <w:noWrap/>
            <w:vAlign w:val="center"/>
            <w:hideMark/>
          </w:tcPr>
          <w:p w:rsidR="00545FA4" w:rsidRPr="002B5C72" w:rsidRDefault="002B5C72" w:rsidP="00DE601E">
            <w:pPr>
              <w:jc w:val="left"/>
              <w:rPr>
                <w:rFonts w:asciiTheme="minorHAnsi" w:hAnsiTheme="minorHAnsi"/>
                <w:caps/>
                <w:sz w:val="18"/>
                <w:szCs w:val="18"/>
              </w:rPr>
            </w:pPr>
            <w:r>
              <w:rPr>
                <w:rFonts w:asciiTheme="minorHAnsi" w:hAnsiTheme="minorHAnsi"/>
                <w:sz w:val="18"/>
                <w:szCs w:val="18"/>
              </w:rPr>
              <w:t>М</w:t>
            </w:r>
            <w:r>
              <w:rPr>
                <w:rFonts w:asciiTheme="minorHAnsi" w:hAnsiTheme="minorHAnsi"/>
                <w:sz w:val="18"/>
                <w:szCs w:val="18"/>
                <w:lang w:val="sr-Cyrl-RS"/>
              </w:rPr>
              <w:t>КД</w:t>
            </w:r>
            <w:r w:rsidR="00545FA4" w:rsidRPr="002B5C72">
              <w:rPr>
                <w:rFonts w:asciiTheme="minorHAnsi" w:hAnsiTheme="minorHAnsi"/>
                <w:sz w:val="18"/>
                <w:szCs w:val="18"/>
              </w:rPr>
              <w:t xml:space="preserve"> </w:t>
            </w:r>
            <w:r>
              <w:rPr>
                <w:rFonts w:asciiTheme="minorHAnsi" w:hAnsiTheme="minorHAnsi"/>
                <w:sz w:val="18"/>
                <w:szCs w:val="18"/>
                <w:lang w:val="sr-Cyrl-RS"/>
              </w:rPr>
              <w:t>М</w:t>
            </w:r>
            <w:r w:rsidR="00545FA4" w:rsidRPr="002B5C72">
              <w:rPr>
                <w:rFonts w:asciiTheme="minorHAnsi" w:hAnsiTheme="minorHAnsi"/>
                <w:sz w:val="18"/>
                <w:szCs w:val="18"/>
              </w:rPr>
              <w:t xml:space="preserve">икрофин д.о.о. Бања </w:t>
            </w:r>
            <w:r w:rsidR="00545FA4" w:rsidRPr="002B5C72">
              <w:rPr>
                <w:rFonts w:asciiTheme="minorHAnsi" w:hAnsiTheme="minorHAnsi"/>
                <w:sz w:val="18"/>
                <w:szCs w:val="18"/>
                <w:lang w:val="sr-Cyrl-RS"/>
              </w:rPr>
              <w:t>Л</w:t>
            </w:r>
            <w:r w:rsidR="00545FA4" w:rsidRPr="002B5C72">
              <w:rPr>
                <w:rFonts w:asciiTheme="minorHAnsi" w:hAnsiTheme="minorHAnsi"/>
                <w:sz w:val="18"/>
                <w:szCs w:val="18"/>
              </w:rPr>
              <w:t>ука</w:t>
            </w:r>
          </w:p>
        </w:tc>
        <w:tc>
          <w:tcPr>
            <w:tcW w:w="1039" w:type="dxa"/>
            <w:vAlign w:val="center"/>
          </w:tcPr>
          <w:p w:rsidR="00545FA4" w:rsidRPr="002B5C72" w:rsidRDefault="00545FA4" w:rsidP="00DE601E">
            <w:pPr>
              <w:jc w:val="center"/>
              <w:rPr>
                <w:rFonts w:asciiTheme="minorHAnsi" w:hAnsiTheme="minorHAnsi"/>
                <w:sz w:val="18"/>
                <w:szCs w:val="18"/>
                <w:lang w:val="sr-Cyrl-RS"/>
              </w:rPr>
            </w:pPr>
            <w:r w:rsidRPr="002B5C72">
              <w:rPr>
                <w:rFonts w:asciiTheme="minorHAnsi" w:hAnsiTheme="minorHAnsi"/>
                <w:sz w:val="18"/>
                <w:szCs w:val="18"/>
                <w:lang w:val="sr-Cyrl-RS"/>
              </w:rPr>
              <w:t>2</w:t>
            </w:r>
          </w:p>
        </w:tc>
        <w:tc>
          <w:tcPr>
            <w:tcW w:w="1551"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15.001,00</w:t>
            </w:r>
          </w:p>
        </w:tc>
        <w:tc>
          <w:tcPr>
            <w:tcW w:w="1560"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10.500,70</w:t>
            </w:r>
          </w:p>
        </w:tc>
        <w:tc>
          <w:tcPr>
            <w:tcW w:w="1275" w:type="dxa"/>
            <w:shd w:val="clear" w:color="auto" w:fill="auto"/>
            <w:noWrap/>
            <w:vAlign w:val="center"/>
            <w:hideMark/>
          </w:tcPr>
          <w:p w:rsidR="00545FA4" w:rsidRPr="002B5C72" w:rsidRDefault="00545FA4" w:rsidP="00DE601E">
            <w:pPr>
              <w:jc w:val="right"/>
              <w:rPr>
                <w:rFonts w:asciiTheme="minorHAnsi" w:hAnsiTheme="minorHAnsi"/>
                <w:sz w:val="18"/>
                <w:szCs w:val="18"/>
              </w:rPr>
            </w:pPr>
            <w:r w:rsidRPr="002B5C72">
              <w:rPr>
                <w:rFonts w:asciiTheme="minorHAnsi" w:hAnsiTheme="minorHAnsi"/>
                <w:sz w:val="18"/>
                <w:szCs w:val="18"/>
              </w:rPr>
              <w:t>0,02%</w:t>
            </w:r>
          </w:p>
        </w:tc>
      </w:tr>
      <w:tr w:rsidR="00545FA4" w:rsidRPr="001C27A1" w:rsidTr="002B5C72">
        <w:trPr>
          <w:trHeight w:val="315"/>
        </w:trPr>
        <w:tc>
          <w:tcPr>
            <w:tcW w:w="3364" w:type="dxa"/>
            <w:shd w:val="clear" w:color="auto" w:fill="8DB3E2" w:themeFill="text2" w:themeFillTint="66"/>
            <w:noWrap/>
            <w:vAlign w:val="center"/>
            <w:hideMark/>
          </w:tcPr>
          <w:p w:rsidR="00545FA4" w:rsidRPr="002B5C72" w:rsidRDefault="00536E78" w:rsidP="00DE601E">
            <w:pPr>
              <w:jc w:val="left"/>
              <w:rPr>
                <w:rFonts w:asciiTheme="minorHAnsi" w:hAnsiTheme="minorHAnsi"/>
                <w:b/>
                <w:bCs/>
                <w:sz w:val="18"/>
                <w:szCs w:val="18"/>
              </w:rPr>
            </w:pPr>
            <w:r>
              <w:rPr>
                <w:rFonts w:asciiTheme="minorHAnsi" w:hAnsiTheme="minorHAnsi"/>
                <w:b/>
                <w:bCs/>
                <w:sz w:val="18"/>
                <w:szCs w:val="18"/>
                <w:lang w:val="sr-Cyrl-BA"/>
              </w:rPr>
              <w:t>УКУПНО</w:t>
            </w:r>
          </w:p>
        </w:tc>
        <w:tc>
          <w:tcPr>
            <w:tcW w:w="1039" w:type="dxa"/>
            <w:shd w:val="clear" w:color="auto" w:fill="8DB3E2" w:themeFill="text2" w:themeFillTint="66"/>
            <w:vAlign w:val="center"/>
          </w:tcPr>
          <w:p w:rsidR="00545FA4" w:rsidRPr="002B5C72" w:rsidRDefault="00545FA4" w:rsidP="00DE601E">
            <w:pPr>
              <w:jc w:val="center"/>
              <w:rPr>
                <w:rFonts w:asciiTheme="minorHAnsi" w:hAnsiTheme="minorHAnsi"/>
                <w:b/>
                <w:bCs/>
                <w:sz w:val="18"/>
                <w:szCs w:val="18"/>
                <w:lang w:val="sr-Cyrl-RS"/>
              </w:rPr>
            </w:pPr>
            <w:r w:rsidRPr="002B5C72">
              <w:rPr>
                <w:rFonts w:asciiTheme="minorHAnsi" w:hAnsiTheme="minorHAnsi"/>
                <w:b/>
                <w:bCs/>
                <w:sz w:val="18"/>
                <w:szCs w:val="18"/>
                <w:lang w:val="sr-Cyrl-RS"/>
              </w:rPr>
              <w:t>416</w:t>
            </w:r>
          </w:p>
        </w:tc>
        <w:tc>
          <w:tcPr>
            <w:tcW w:w="1551" w:type="dxa"/>
            <w:shd w:val="clear" w:color="auto" w:fill="8DB3E2" w:themeFill="text2" w:themeFillTint="66"/>
            <w:noWrap/>
            <w:vAlign w:val="center"/>
            <w:hideMark/>
          </w:tcPr>
          <w:p w:rsidR="00545FA4" w:rsidRPr="002B5C72" w:rsidRDefault="00545FA4" w:rsidP="00DE601E">
            <w:pPr>
              <w:jc w:val="right"/>
              <w:rPr>
                <w:rFonts w:asciiTheme="minorHAnsi" w:hAnsiTheme="minorHAnsi"/>
                <w:b/>
                <w:bCs/>
                <w:sz w:val="18"/>
                <w:szCs w:val="18"/>
              </w:rPr>
            </w:pPr>
            <w:r w:rsidRPr="002B5C72">
              <w:rPr>
                <w:rFonts w:asciiTheme="minorHAnsi" w:hAnsiTheme="minorHAnsi"/>
                <w:b/>
                <w:bCs/>
                <w:sz w:val="18"/>
                <w:szCs w:val="18"/>
              </w:rPr>
              <w:t>60.910.629,00</w:t>
            </w:r>
          </w:p>
        </w:tc>
        <w:tc>
          <w:tcPr>
            <w:tcW w:w="1560" w:type="dxa"/>
            <w:shd w:val="clear" w:color="auto" w:fill="8DB3E2" w:themeFill="text2" w:themeFillTint="66"/>
            <w:noWrap/>
            <w:vAlign w:val="center"/>
            <w:hideMark/>
          </w:tcPr>
          <w:p w:rsidR="00545FA4" w:rsidRPr="002B5C72" w:rsidRDefault="00545FA4" w:rsidP="00DE601E">
            <w:pPr>
              <w:jc w:val="right"/>
              <w:rPr>
                <w:rFonts w:asciiTheme="minorHAnsi" w:hAnsiTheme="minorHAnsi"/>
                <w:b/>
                <w:bCs/>
                <w:sz w:val="18"/>
                <w:szCs w:val="18"/>
              </w:rPr>
            </w:pPr>
            <w:r w:rsidRPr="002B5C72">
              <w:rPr>
                <w:rFonts w:asciiTheme="minorHAnsi" w:hAnsiTheme="minorHAnsi"/>
                <w:b/>
                <w:bCs/>
                <w:sz w:val="18"/>
                <w:szCs w:val="18"/>
              </w:rPr>
              <w:t>42.637.440,30</w:t>
            </w:r>
          </w:p>
        </w:tc>
        <w:tc>
          <w:tcPr>
            <w:tcW w:w="1275" w:type="dxa"/>
            <w:shd w:val="clear" w:color="auto" w:fill="8DB3E2" w:themeFill="text2" w:themeFillTint="66"/>
            <w:noWrap/>
            <w:vAlign w:val="center"/>
            <w:hideMark/>
          </w:tcPr>
          <w:p w:rsidR="00545FA4" w:rsidRPr="002B5C72" w:rsidRDefault="00545FA4" w:rsidP="00DE601E">
            <w:pPr>
              <w:jc w:val="right"/>
              <w:rPr>
                <w:rFonts w:asciiTheme="minorHAnsi" w:hAnsiTheme="minorHAnsi"/>
                <w:b/>
                <w:bCs/>
                <w:sz w:val="18"/>
                <w:szCs w:val="18"/>
              </w:rPr>
            </w:pPr>
            <w:r w:rsidRPr="002B5C72">
              <w:rPr>
                <w:rFonts w:asciiTheme="minorHAnsi" w:hAnsiTheme="minorHAnsi"/>
                <w:b/>
                <w:bCs/>
                <w:sz w:val="18"/>
                <w:szCs w:val="18"/>
              </w:rPr>
              <w:t>100,00%</w:t>
            </w:r>
          </w:p>
        </w:tc>
      </w:tr>
    </w:tbl>
    <w:p w:rsidR="00545FA4" w:rsidRPr="001C27A1" w:rsidRDefault="00545FA4" w:rsidP="00DE601E">
      <w:pPr>
        <w:rPr>
          <w:rFonts w:asciiTheme="minorHAnsi" w:eastAsiaTheme="minorHAnsi" w:hAnsiTheme="minorHAnsi"/>
          <w:color w:val="auto"/>
          <w:sz w:val="20"/>
          <w:szCs w:val="20"/>
          <w:lang w:eastAsia="en-US"/>
        </w:rPr>
      </w:pPr>
    </w:p>
    <w:p w:rsidR="00185E75" w:rsidRDefault="00545FA4" w:rsidP="00DE601E">
      <w:pPr>
        <w:rPr>
          <w:rFonts w:asciiTheme="minorHAnsi" w:hAnsiTheme="minorHAnsi"/>
          <w:noProof/>
          <w:sz w:val="20"/>
          <w:szCs w:val="20"/>
          <w:lang w:val="sr-Cyrl-RS"/>
        </w:rPr>
      </w:pPr>
      <w:r w:rsidRPr="001C27A1">
        <w:rPr>
          <w:rFonts w:asciiTheme="minorHAnsi" w:hAnsiTheme="minorHAnsi"/>
          <w:noProof/>
          <w:sz w:val="20"/>
          <w:szCs w:val="20"/>
          <w:lang w:val="sr-Cyrl-RS"/>
        </w:rPr>
        <w:t xml:space="preserve">У укупно пласираним кредитима доминантно учешће има Procredit банка, која је од почетка Програма </w:t>
      </w:r>
      <w:r w:rsidRPr="001C27A1">
        <w:rPr>
          <w:rFonts w:asciiTheme="minorHAnsi" w:hAnsiTheme="minorHAnsi"/>
          <w:sz w:val="20"/>
          <w:szCs w:val="20"/>
          <w:lang w:val="sr-Cyrl-BA"/>
        </w:rPr>
        <w:t xml:space="preserve"> </w:t>
      </w:r>
      <w:r w:rsidRPr="001C27A1">
        <w:rPr>
          <w:rFonts w:asciiTheme="minorHAnsi" w:hAnsiTheme="minorHAnsi"/>
          <w:sz w:val="20"/>
          <w:szCs w:val="20"/>
          <w:lang w:val="sr-Latn-BA"/>
        </w:rPr>
        <w:t>COVID</w:t>
      </w:r>
      <w:r w:rsidRPr="001C27A1">
        <w:rPr>
          <w:rFonts w:asciiTheme="minorHAnsi" w:hAnsiTheme="minorHAnsi"/>
          <w:sz w:val="20"/>
          <w:szCs w:val="20"/>
          <w:lang w:val="sr-Cyrl-RS"/>
        </w:rPr>
        <w:t>-</w:t>
      </w:r>
      <w:r w:rsidRPr="001C27A1">
        <w:rPr>
          <w:rFonts w:asciiTheme="minorHAnsi" w:hAnsiTheme="minorHAnsi"/>
          <w:sz w:val="20"/>
          <w:szCs w:val="20"/>
          <w:lang w:val="sr-Latn-BA"/>
        </w:rPr>
        <w:t>19</w:t>
      </w:r>
      <w:r w:rsidRPr="001C27A1">
        <w:rPr>
          <w:rFonts w:asciiTheme="minorHAnsi" w:hAnsiTheme="minorHAnsi"/>
          <w:sz w:val="20"/>
          <w:szCs w:val="20"/>
        </w:rPr>
        <w:t xml:space="preserve"> </w:t>
      </w:r>
      <w:r w:rsidRPr="001C27A1">
        <w:rPr>
          <w:rFonts w:asciiTheme="minorHAnsi" w:hAnsiTheme="minorHAnsi"/>
          <w:noProof/>
          <w:sz w:val="20"/>
          <w:szCs w:val="20"/>
          <w:lang w:val="sr-Cyrl-RS"/>
        </w:rPr>
        <w:t>пласирала 1</w:t>
      </w:r>
      <w:r w:rsidRPr="001C27A1">
        <w:rPr>
          <w:rFonts w:asciiTheme="minorHAnsi" w:hAnsiTheme="minorHAnsi"/>
          <w:noProof/>
          <w:sz w:val="20"/>
          <w:szCs w:val="20"/>
          <w:lang w:val="sr-Cyrl-BA"/>
        </w:rPr>
        <w:t>88</w:t>
      </w:r>
      <w:r w:rsidRPr="001C27A1">
        <w:rPr>
          <w:rFonts w:asciiTheme="minorHAnsi" w:hAnsiTheme="minorHAnsi"/>
          <w:noProof/>
          <w:sz w:val="20"/>
          <w:szCs w:val="20"/>
          <w:lang w:val="sr-Cyrl-RS"/>
        </w:rPr>
        <w:t xml:space="preserve"> кредита у износу од </w:t>
      </w:r>
      <w:r w:rsidRPr="001C27A1">
        <w:rPr>
          <w:rFonts w:asciiTheme="minorHAnsi" w:hAnsiTheme="minorHAnsi"/>
          <w:noProof/>
          <w:sz w:val="20"/>
          <w:szCs w:val="20"/>
        </w:rPr>
        <w:t>3</w:t>
      </w:r>
      <w:r w:rsidRPr="001C27A1">
        <w:rPr>
          <w:rFonts w:asciiTheme="minorHAnsi" w:hAnsiTheme="minorHAnsi"/>
          <w:noProof/>
          <w:sz w:val="20"/>
          <w:szCs w:val="20"/>
          <w:lang w:val="sr-Cyrl-BA"/>
        </w:rPr>
        <w:t>4.171</w:t>
      </w:r>
      <w:r w:rsidRPr="001C27A1">
        <w:rPr>
          <w:rFonts w:asciiTheme="minorHAnsi" w:hAnsiTheme="minorHAnsi"/>
          <w:noProof/>
          <w:sz w:val="20"/>
          <w:szCs w:val="20"/>
          <w:lang w:val="sr-Cyrl-RS"/>
        </w:rPr>
        <w:t>.</w:t>
      </w:r>
      <w:r w:rsidRPr="001C27A1">
        <w:rPr>
          <w:rFonts w:asciiTheme="minorHAnsi" w:hAnsiTheme="minorHAnsi"/>
          <w:noProof/>
          <w:sz w:val="20"/>
          <w:szCs w:val="20"/>
        </w:rPr>
        <w:t>000</w:t>
      </w:r>
      <w:r w:rsidRPr="001C27A1">
        <w:rPr>
          <w:rFonts w:asciiTheme="minorHAnsi" w:hAnsiTheme="minorHAnsi"/>
          <w:noProof/>
          <w:sz w:val="20"/>
          <w:szCs w:val="20"/>
          <w:lang w:val="sr-Cyrl-RS"/>
        </w:rPr>
        <w:t>,</w:t>
      </w:r>
      <w:r w:rsidRPr="001C27A1">
        <w:rPr>
          <w:rFonts w:asciiTheme="minorHAnsi" w:hAnsiTheme="minorHAnsi"/>
          <w:noProof/>
          <w:sz w:val="20"/>
          <w:szCs w:val="20"/>
        </w:rPr>
        <w:t>00</w:t>
      </w:r>
      <w:r w:rsidRPr="001C27A1">
        <w:rPr>
          <w:rFonts w:asciiTheme="minorHAnsi" w:hAnsiTheme="minorHAnsi"/>
          <w:noProof/>
          <w:sz w:val="20"/>
          <w:szCs w:val="20"/>
          <w:lang w:val="sr-Cyrl-RS"/>
        </w:rPr>
        <w:t xml:space="preserve"> КМ, што је више од </w:t>
      </w:r>
      <w:r w:rsidRPr="001C27A1">
        <w:rPr>
          <w:rFonts w:asciiTheme="minorHAnsi" w:hAnsiTheme="minorHAnsi"/>
          <w:noProof/>
          <w:sz w:val="20"/>
          <w:szCs w:val="20"/>
          <w:lang w:val="sr-Cyrl-BA"/>
        </w:rPr>
        <w:t>половине</w:t>
      </w:r>
      <w:r w:rsidRPr="001C27A1">
        <w:rPr>
          <w:rFonts w:asciiTheme="minorHAnsi" w:hAnsiTheme="minorHAnsi"/>
          <w:noProof/>
          <w:sz w:val="20"/>
          <w:szCs w:val="20"/>
          <w:lang w:val="sr-Cyrl-RS"/>
        </w:rPr>
        <w:t xml:space="preserve"> укупно пласираних средстава (5</w:t>
      </w:r>
      <w:r w:rsidRPr="001C27A1">
        <w:rPr>
          <w:rFonts w:asciiTheme="minorHAnsi" w:hAnsiTheme="minorHAnsi"/>
          <w:noProof/>
          <w:sz w:val="20"/>
          <w:szCs w:val="20"/>
          <w:lang w:val="sr-Cyrl-BA"/>
        </w:rPr>
        <w:t>6</w:t>
      </w:r>
      <w:r w:rsidRPr="001C27A1">
        <w:rPr>
          <w:rFonts w:asciiTheme="minorHAnsi" w:hAnsiTheme="minorHAnsi"/>
          <w:noProof/>
          <w:sz w:val="20"/>
          <w:szCs w:val="20"/>
          <w:lang w:val="sr-Cyrl-RS"/>
        </w:rPr>
        <w:t>,</w:t>
      </w:r>
      <w:r w:rsidRPr="001C27A1">
        <w:rPr>
          <w:rFonts w:asciiTheme="minorHAnsi" w:hAnsiTheme="minorHAnsi"/>
          <w:noProof/>
          <w:sz w:val="20"/>
          <w:szCs w:val="20"/>
          <w:lang w:val="sr-Latn-BA"/>
        </w:rPr>
        <w:t>10</w:t>
      </w:r>
      <w:r w:rsidRPr="001C27A1">
        <w:rPr>
          <w:rFonts w:asciiTheme="minorHAnsi" w:hAnsiTheme="minorHAnsi"/>
          <w:noProof/>
          <w:sz w:val="20"/>
          <w:szCs w:val="20"/>
          <w:lang w:val="sr-Cyrl-RS"/>
        </w:rPr>
        <w:t>%). МФ банка је на другом мјесту са укупно 8</w:t>
      </w:r>
      <w:r w:rsidRPr="001C27A1">
        <w:rPr>
          <w:rFonts w:asciiTheme="minorHAnsi" w:hAnsiTheme="minorHAnsi"/>
          <w:noProof/>
          <w:sz w:val="20"/>
          <w:szCs w:val="20"/>
          <w:lang w:val="sr-Latn-BA"/>
        </w:rPr>
        <w:t>5</w:t>
      </w:r>
      <w:r w:rsidRPr="001C27A1">
        <w:rPr>
          <w:rFonts w:asciiTheme="minorHAnsi" w:hAnsiTheme="minorHAnsi"/>
          <w:noProof/>
          <w:sz w:val="20"/>
          <w:szCs w:val="20"/>
          <w:lang w:val="sr-Cyrl-RS"/>
        </w:rPr>
        <w:t xml:space="preserve"> пласираних кредита у износу од 12.</w:t>
      </w:r>
      <w:r w:rsidRPr="001C27A1">
        <w:rPr>
          <w:rFonts w:asciiTheme="minorHAnsi" w:hAnsiTheme="minorHAnsi"/>
          <w:noProof/>
          <w:sz w:val="20"/>
          <w:szCs w:val="20"/>
          <w:lang w:val="sr-Latn-BA"/>
        </w:rPr>
        <w:t>6</w:t>
      </w:r>
      <w:r w:rsidRPr="001C27A1">
        <w:rPr>
          <w:rFonts w:asciiTheme="minorHAnsi" w:hAnsiTheme="minorHAnsi"/>
          <w:noProof/>
          <w:sz w:val="20"/>
          <w:szCs w:val="20"/>
          <w:lang w:val="sr-Cyrl-RS"/>
        </w:rPr>
        <w:t>32.700,00 КМ, што је 2</w:t>
      </w:r>
      <w:r w:rsidRPr="001C27A1">
        <w:rPr>
          <w:rFonts w:asciiTheme="minorHAnsi" w:hAnsiTheme="minorHAnsi"/>
          <w:noProof/>
          <w:sz w:val="20"/>
          <w:szCs w:val="20"/>
          <w:lang w:val="sr-Latn-BA"/>
        </w:rPr>
        <w:t>0</w:t>
      </w:r>
      <w:r w:rsidRPr="001C27A1">
        <w:rPr>
          <w:rFonts w:asciiTheme="minorHAnsi" w:hAnsiTheme="minorHAnsi"/>
          <w:noProof/>
          <w:sz w:val="20"/>
          <w:szCs w:val="20"/>
          <w:lang w:val="sr-Cyrl-RS"/>
        </w:rPr>
        <w:t>,</w:t>
      </w:r>
      <w:r w:rsidRPr="001C27A1">
        <w:rPr>
          <w:rFonts w:asciiTheme="minorHAnsi" w:hAnsiTheme="minorHAnsi"/>
          <w:noProof/>
          <w:sz w:val="20"/>
          <w:szCs w:val="20"/>
          <w:lang w:val="sr-Latn-BA"/>
        </w:rPr>
        <w:t>74</w:t>
      </w:r>
      <w:r w:rsidRPr="001C27A1">
        <w:rPr>
          <w:rFonts w:asciiTheme="minorHAnsi" w:hAnsiTheme="minorHAnsi"/>
          <w:noProof/>
          <w:sz w:val="20"/>
          <w:szCs w:val="20"/>
          <w:lang w:val="sr-Cyrl-RS"/>
        </w:rPr>
        <w:t>% пласираних средстава. Гаранције које покривају пласмане Procredit банке износе 2</w:t>
      </w:r>
      <w:r w:rsidRPr="001C27A1">
        <w:rPr>
          <w:rFonts w:asciiTheme="minorHAnsi" w:hAnsiTheme="minorHAnsi"/>
          <w:noProof/>
          <w:sz w:val="20"/>
          <w:szCs w:val="20"/>
          <w:lang w:val="sr-Cyrl-BA"/>
        </w:rPr>
        <w:t>3</w:t>
      </w:r>
      <w:r w:rsidRPr="001C27A1">
        <w:rPr>
          <w:rFonts w:asciiTheme="minorHAnsi" w:hAnsiTheme="minorHAnsi"/>
          <w:noProof/>
          <w:sz w:val="20"/>
          <w:szCs w:val="20"/>
          <w:lang w:val="sr-Cyrl-RS"/>
        </w:rPr>
        <w:t>.</w:t>
      </w:r>
      <w:r w:rsidRPr="001C27A1">
        <w:rPr>
          <w:rFonts w:asciiTheme="minorHAnsi" w:hAnsiTheme="minorHAnsi"/>
          <w:noProof/>
          <w:sz w:val="20"/>
          <w:szCs w:val="20"/>
          <w:lang w:val="sr-Cyrl-BA"/>
        </w:rPr>
        <w:t>919</w:t>
      </w:r>
      <w:r w:rsidRPr="001C27A1">
        <w:rPr>
          <w:rFonts w:asciiTheme="minorHAnsi" w:hAnsiTheme="minorHAnsi"/>
          <w:noProof/>
          <w:sz w:val="20"/>
          <w:szCs w:val="20"/>
          <w:lang w:val="sr-Cyrl-RS"/>
        </w:rPr>
        <w:t>.700,00 КМ, док су пласмани МФ банке гарантовани у укупном износу од 8.</w:t>
      </w:r>
      <w:r w:rsidRPr="001C27A1">
        <w:rPr>
          <w:rFonts w:asciiTheme="minorHAnsi" w:hAnsiTheme="minorHAnsi"/>
          <w:noProof/>
          <w:sz w:val="20"/>
          <w:szCs w:val="20"/>
          <w:lang w:val="sr-Latn-BA"/>
        </w:rPr>
        <w:t>842</w:t>
      </w:r>
      <w:r w:rsidRPr="001C27A1">
        <w:rPr>
          <w:rFonts w:asciiTheme="minorHAnsi" w:hAnsiTheme="minorHAnsi"/>
          <w:noProof/>
          <w:sz w:val="20"/>
          <w:szCs w:val="20"/>
          <w:lang w:val="sr-Cyrl-RS"/>
        </w:rPr>
        <w:t xml:space="preserve">.890,00 КМ. </w:t>
      </w:r>
      <w:r w:rsidRPr="001C27A1">
        <w:rPr>
          <w:rFonts w:asciiTheme="minorHAnsi" w:hAnsiTheme="minorHAnsi"/>
          <w:noProof/>
          <w:sz w:val="20"/>
          <w:szCs w:val="20"/>
          <w:lang w:val="sr-Cyrl-BA"/>
        </w:rPr>
        <w:t xml:space="preserve">Двије наведене банке су пласирале нешто више од три четвртине свих средстава у оквиру </w:t>
      </w:r>
      <w:r w:rsidRPr="001C27A1">
        <w:rPr>
          <w:rFonts w:asciiTheme="minorHAnsi" w:hAnsiTheme="minorHAnsi"/>
          <w:sz w:val="20"/>
          <w:szCs w:val="20"/>
          <w:lang w:val="sr-Cyrl-BA"/>
        </w:rPr>
        <w:t>Програма</w:t>
      </w:r>
      <w:r w:rsidRPr="001C27A1">
        <w:rPr>
          <w:rFonts w:asciiTheme="minorHAnsi" w:hAnsiTheme="minorHAnsi"/>
          <w:noProof/>
          <w:sz w:val="20"/>
          <w:szCs w:val="20"/>
          <w:lang w:val="sr-Cyrl-BA"/>
        </w:rPr>
        <w:t xml:space="preserve">. </w:t>
      </w:r>
      <w:r w:rsidRPr="001C27A1">
        <w:rPr>
          <w:rFonts w:asciiTheme="minorHAnsi" w:hAnsiTheme="minorHAnsi"/>
          <w:noProof/>
          <w:sz w:val="20"/>
          <w:szCs w:val="20"/>
          <w:lang w:val="sr-Cyrl-RS"/>
        </w:rPr>
        <w:t>Unicredit банка је на трећем мјесту, а пласирала је 52 кредит</w:t>
      </w:r>
      <w:r w:rsidRPr="001C27A1">
        <w:rPr>
          <w:rFonts w:asciiTheme="minorHAnsi" w:hAnsiTheme="minorHAnsi"/>
          <w:noProof/>
          <w:sz w:val="20"/>
          <w:szCs w:val="20"/>
          <w:lang w:val="sr-Latn-BA"/>
        </w:rPr>
        <w:t>a</w:t>
      </w:r>
      <w:r w:rsidRPr="001C27A1">
        <w:rPr>
          <w:rFonts w:asciiTheme="minorHAnsi" w:hAnsiTheme="minorHAnsi"/>
          <w:noProof/>
          <w:sz w:val="20"/>
          <w:szCs w:val="20"/>
          <w:lang w:val="sr-Cyrl-RS"/>
        </w:rPr>
        <w:t xml:space="preserve"> у износу од 6.145.300,00 КМ (10,</w:t>
      </w:r>
      <w:r w:rsidRPr="001C27A1">
        <w:rPr>
          <w:rFonts w:asciiTheme="minorHAnsi" w:hAnsiTheme="minorHAnsi"/>
          <w:noProof/>
          <w:sz w:val="20"/>
          <w:szCs w:val="20"/>
          <w:lang w:val="sr-Latn-BA"/>
        </w:rPr>
        <w:t>0</w:t>
      </w:r>
      <w:r w:rsidRPr="001C27A1">
        <w:rPr>
          <w:rFonts w:asciiTheme="minorHAnsi" w:hAnsiTheme="minorHAnsi"/>
          <w:noProof/>
          <w:sz w:val="20"/>
          <w:szCs w:val="20"/>
          <w:lang w:val="sr-Cyrl-BA"/>
        </w:rPr>
        <w:t>9</w:t>
      </w:r>
      <w:r w:rsidR="00185E75">
        <w:rPr>
          <w:rFonts w:asciiTheme="minorHAnsi" w:hAnsiTheme="minorHAnsi"/>
          <w:noProof/>
          <w:sz w:val="20"/>
          <w:szCs w:val="20"/>
          <w:lang w:val="sr-Cyrl-RS"/>
        </w:rPr>
        <w:t>% учешћа).</w:t>
      </w:r>
    </w:p>
    <w:p w:rsidR="008B5A35" w:rsidRPr="00185E75" w:rsidRDefault="008B5A35" w:rsidP="00DE601E">
      <w:pPr>
        <w:rPr>
          <w:rFonts w:asciiTheme="minorHAnsi" w:hAnsiTheme="minorHAnsi"/>
          <w:noProof/>
          <w:sz w:val="20"/>
          <w:szCs w:val="20"/>
          <w:lang w:val="sr-Cyrl-RS"/>
        </w:rPr>
      </w:pPr>
    </w:p>
    <w:p w:rsidR="00545FA4" w:rsidRPr="001C27A1" w:rsidRDefault="00545FA4" w:rsidP="00DE601E">
      <w:pPr>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Преглед гаранција</w:t>
      </w:r>
      <w:r w:rsidRPr="001C27A1">
        <w:rPr>
          <w:rFonts w:asciiTheme="minorHAnsi" w:eastAsiaTheme="minorHAnsi" w:hAnsiTheme="minorHAnsi"/>
          <w:b/>
          <w:color w:val="auto"/>
          <w:sz w:val="20"/>
          <w:szCs w:val="20"/>
          <w:lang w:val="sr-Cyrl-BA" w:eastAsia="en-US"/>
        </w:rPr>
        <w:t xml:space="preserve"> Гарантног програма </w:t>
      </w:r>
      <w:r w:rsidRPr="001C27A1">
        <w:rPr>
          <w:rFonts w:asciiTheme="minorHAnsi" w:eastAsiaTheme="minorHAnsi" w:hAnsiTheme="minorHAnsi"/>
          <w:b/>
          <w:color w:val="auto"/>
          <w:sz w:val="20"/>
          <w:szCs w:val="20"/>
          <w:lang w:val="sr-Latn-BA" w:eastAsia="en-US"/>
        </w:rPr>
        <w:t xml:space="preserve"> 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19</w:t>
      </w:r>
      <w:r w:rsidRPr="001C27A1">
        <w:rPr>
          <w:rFonts w:asciiTheme="minorHAnsi" w:eastAsiaTheme="minorHAnsi" w:hAnsiTheme="minorHAnsi"/>
          <w:b/>
          <w:color w:val="auto"/>
          <w:sz w:val="20"/>
          <w:szCs w:val="20"/>
          <w:lang w:val="sr-Cyrl-RS" w:eastAsia="en-US"/>
        </w:rPr>
        <w:t xml:space="preserve"> по статусу на дан </w:t>
      </w:r>
      <w:r w:rsidRPr="001C27A1">
        <w:rPr>
          <w:rFonts w:asciiTheme="minorHAnsi" w:eastAsiaTheme="minorHAnsi" w:hAnsiTheme="minorHAnsi"/>
          <w:b/>
          <w:color w:val="auto"/>
          <w:sz w:val="20"/>
          <w:szCs w:val="20"/>
          <w:lang w:eastAsia="en-US"/>
        </w:rPr>
        <w:t>31.12.202</w:t>
      </w:r>
      <w:r w:rsidR="00185E75">
        <w:rPr>
          <w:rFonts w:asciiTheme="minorHAnsi" w:eastAsiaTheme="minorHAnsi" w:hAnsiTheme="minorHAnsi"/>
          <w:b/>
          <w:color w:val="auto"/>
          <w:sz w:val="20"/>
          <w:szCs w:val="20"/>
          <w:lang w:val="sr-Cyrl-RS" w:eastAsia="en-US"/>
        </w:rPr>
        <w:t>4</w:t>
      </w:r>
      <w:r w:rsidRPr="001C27A1">
        <w:rPr>
          <w:rFonts w:asciiTheme="minorHAnsi" w:eastAsiaTheme="minorHAnsi" w:hAnsiTheme="minorHAnsi"/>
          <w:b/>
          <w:color w:val="auto"/>
          <w:sz w:val="20"/>
          <w:szCs w:val="20"/>
          <w:lang w:eastAsia="en-US"/>
        </w:rPr>
        <w:t>.</w:t>
      </w:r>
      <w:r w:rsidRPr="001C27A1">
        <w:rPr>
          <w:rFonts w:asciiTheme="minorHAnsi" w:eastAsiaTheme="minorHAnsi" w:hAnsiTheme="minorHAnsi"/>
          <w:b/>
          <w:color w:val="auto"/>
          <w:sz w:val="20"/>
          <w:szCs w:val="20"/>
          <w:lang w:val="sr-Cyrl-RS" w:eastAsia="en-US"/>
        </w:rPr>
        <w:t xml:space="preserve"> године</w:t>
      </w:r>
    </w:p>
    <w:p w:rsidR="00545FA4" w:rsidRPr="001C27A1" w:rsidRDefault="00545FA4" w:rsidP="00DE601E">
      <w:pPr>
        <w:jc w:val="center"/>
        <w:rPr>
          <w:rFonts w:asciiTheme="minorHAnsi" w:eastAsiaTheme="minorHAnsi" w:hAnsiTheme="minorHAnsi"/>
          <w:color w:val="auto"/>
          <w:sz w:val="20"/>
          <w:szCs w:val="20"/>
          <w:lang w:val="sr-Cyrl-RS" w:eastAsia="en-US"/>
        </w:rPr>
      </w:pPr>
    </w:p>
    <w:p w:rsidR="00545FA4" w:rsidRPr="001C27A1" w:rsidRDefault="00545FA4" w:rsidP="00DE601E">
      <w:pPr>
        <w:jc w:val="right"/>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 xml:space="preserve">Табела </w:t>
      </w:r>
      <w:r w:rsidR="0034546F">
        <w:rPr>
          <w:rFonts w:asciiTheme="minorHAnsi" w:eastAsiaTheme="minorHAnsi" w:hAnsiTheme="minorHAnsi"/>
          <w:b/>
          <w:color w:val="auto"/>
          <w:sz w:val="20"/>
          <w:szCs w:val="20"/>
          <w:lang w:val="sr-Cyrl-RS" w:eastAsia="en-US"/>
        </w:rPr>
        <w:t>15</w:t>
      </w:r>
    </w:p>
    <w:p w:rsidR="00545FA4" w:rsidRDefault="00545FA4" w:rsidP="00DE601E">
      <w:pPr>
        <w:jc w:val="right"/>
        <w:rPr>
          <w:rFonts w:asciiTheme="minorHAnsi" w:eastAsiaTheme="minorHAnsi" w:hAnsiTheme="minorHAnsi"/>
          <w:color w:val="auto"/>
          <w:sz w:val="20"/>
          <w:szCs w:val="20"/>
          <w:lang w:val="sr-Cyrl-BA" w:eastAsia="en-US"/>
        </w:rPr>
      </w:pPr>
    </w:p>
    <w:tbl>
      <w:tblPr>
        <w:tblW w:w="8789" w:type="dxa"/>
        <w:tblInd w:w="108" w:type="dxa"/>
        <w:tblLayout w:type="fixed"/>
        <w:tblLook w:val="04A0" w:firstRow="1" w:lastRow="0" w:firstColumn="1" w:lastColumn="0" w:noHBand="0" w:noVBand="1"/>
      </w:tblPr>
      <w:tblGrid>
        <w:gridCol w:w="1276"/>
        <w:gridCol w:w="1134"/>
        <w:gridCol w:w="1513"/>
        <w:gridCol w:w="1389"/>
        <w:gridCol w:w="1351"/>
        <w:gridCol w:w="1275"/>
        <w:gridCol w:w="851"/>
      </w:tblGrid>
      <w:tr w:rsidR="00185E75" w:rsidRPr="00185E75" w:rsidTr="00185E75">
        <w:trPr>
          <w:trHeight w:val="765"/>
        </w:trPr>
        <w:tc>
          <w:tcPr>
            <w:tcW w:w="1276"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185E75" w:rsidRPr="00185E75" w:rsidRDefault="00185E75" w:rsidP="00DE601E">
            <w:pPr>
              <w:jc w:val="left"/>
              <w:rPr>
                <w:rFonts w:asciiTheme="minorHAnsi" w:hAnsiTheme="minorHAnsi"/>
                <w:b/>
                <w:bCs/>
                <w:sz w:val="18"/>
                <w:szCs w:val="18"/>
              </w:rPr>
            </w:pPr>
            <w:r w:rsidRPr="00185E75">
              <w:rPr>
                <w:rFonts w:asciiTheme="minorHAnsi" w:hAnsiTheme="minorHAnsi"/>
                <w:b/>
                <w:bCs/>
                <w:sz w:val="18"/>
                <w:szCs w:val="18"/>
              </w:rPr>
              <w:t>Статус</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Број кредита/ гаранција</w:t>
            </w:r>
          </w:p>
        </w:tc>
        <w:tc>
          <w:tcPr>
            <w:tcW w:w="1513" w:type="dxa"/>
            <w:tcBorders>
              <w:top w:val="single" w:sz="4" w:space="0" w:color="auto"/>
              <w:left w:val="nil"/>
              <w:bottom w:val="single" w:sz="4" w:space="0" w:color="auto"/>
              <w:right w:val="single" w:sz="4" w:space="0" w:color="auto"/>
            </w:tcBorders>
            <w:shd w:val="clear" w:color="000000" w:fill="8DB4E2"/>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 xml:space="preserve">Номинални износ кредита </w:t>
            </w:r>
          </w:p>
        </w:tc>
        <w:tc>
          <w:tcPr>
            <w:tcW w:w="1389" w:type="dxa"/>
            <w:tcBorders>
              <w:top w:val="single" w:sz="4" w:space="0" w:color="auto"/>
              <w:left w:val="nil"/>
              <w:bottom w:val="single" w:sz="4" w:space="0" w:color="auto"/>
              <w:right w:val="single" w:sz="4" w:space="0" w:color="auto"/>
            </w:tcBorders>
            <w:shd w:val="clear" w:color="000000" w:fill="8DB4E2"/>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Номинални износ гаранција</w:t>
            </w:r>
          </w:p>
        </w:tc>
        <w:tc>
          <w:tcPr>
            <w:tcW w:w="1351" w:type="dxa"/>
            <w:tcBorders>
              <w:top w:val="single" w:sz="4" w:space="0" w:color="auto"/>
              <w:left w:val="nil"/>
              <w:bottom w:val="single" w:sz="4" w:space="0" w:color="auto"/>
              <w:right w:val="single" w:sz="4" w:space="0" w:color="auto"/>
            </w:tcBorders>
            <w:shd w:val="clear" w:color="000000" w:fill="8DB4E2"/>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Стање кредита на дан 31.12.2024.</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Стање гаранција на дан 31.12.2024.</w:t>
            </w:r>
          </w:p>
        </w:tc>
        <w:tc>
          <w:tcPr>
            <w:tcW w:w="851" w:type="dxa"/>
            <w:tcBorders>
              <w:top w:val="single" w:sz="4" w:space="0" w:color="auto"/>
              <w:left w:val="nil"/>
              <w:bottom w:val="single" w:sz="4" w:space="0" w:color="auto"/>
              <w:right w:val="single" w:sz="4" w:space="0" w:color="auto"/>
            </w:tcBorders>
            <w:shd w:val="clear" w:color="000000" w:fill="8DB4E2"/>
            <w:noWrap/>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Учешће</w:t>
            </w:r>
          </w:p>
        </w:tc>
      </w:tr>
      <w:tr w:rsidR="00185E75" w:rsidRPr="00185E75" w:rsidTr="00185E75">
        <w:trPr>
          <w:trHeight w:val="49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185E75" w:rsidRPr="00185E75" w:rsidRDefault="00185E75" w:rsidP="00DE601E">
            <w:pPr>
              <w:jc w:val="left"/>
              <w:rPr>
                <w:rFonts w:asciiTheme="minorHAnsi" w:hAnsiTheme="minorHAnsi"/>
                <w:sz w:val="18"/>
                <w:szCs w:val="18"/>
              </w:rPr>
            </w:pPr>
            <w:r w:rsidRPr="00185E75">
              <w:rPr>
                <w:rFonts w:asciiTheme="minorHAnsi" w:hAnsiTheme="minorHAnsi"/>
                <w:sz w:val="18"/>
                <w:szCs w:val="18"/>
              </w:rPr>
              <w:t>Активно</w:t>
            </w:r>
          </w:p>
        </w:tc>
        <w:tc>
          <w:tcPr>
            <w:tcW w:w="1134"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159</w:t>
            </w:r>
          </w:p>
        </w:tc>
        <w:tc>
          <w:tcPr>
            <w:tcW w:w="1513"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28.426.000,00</w:t>
            </w:r>
          </w:p>
        </w:tc>
        <w:tc>
          <w:tcPr>
            <w:tcW w:w="1389"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19.898.200,00</w:t>
            </w:r>
          </w:p>
        </w:tc>
        <w:tc>
          <w:tcPr>
            <w:tcW w:w="1351"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sz w:val="18"/>
                <w:szCs w:val="18"/>
              </w:rPr>
            </w:pPr>
            <w:r w:rsidRPr="00185E75">
              <w:rPr>
                <w:rFonts w:asciiTheme="minorHAnsi" w:hAnsiTheme="minorHAnsi"/>
                <w:sz w:val="18"/>
                <w:szCs w:val="18"/>
              </w:rPr>
              <w:t>10.977.651,75</w:t>
            </w:r>
          </w:p>
        </w:tc>
        <w:tc>
          <w:tcPr>
            <w:tcW w:w="1275"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sz w:val="18"/>
                <w:szCs w:val="18"/>
              </w:rPr>
            </w:pPr>
            <w:r w:rsidRPr="00185E75">
              <w:rPr>
                <w:rFonts w:asciiTheme="minorHAnsi" w:hAnsiTheme="minorHAnsi"/>
                <w:sz w:val="18"/>
                <w:szCs w:val="18"/>
              </w:rPr>
              <w:t>7.684.356,23</w:t>
            </w:r>
          </w:p>
        </w:tc>
        <w:tc>
          <w:tcPr>
            <w:tcW w:w="851"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46,67%</w:t>
            </w:r>
          </w:p>
        </w:tc>
      </w:tr>
      <w:tr w:rsidR="00185E75" w:rsidRPr="00185E75" w:rsidTr="00185E75">
        <w:trPr>
          <w:trHeight w:val="52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185E75" w:rsidRPr="00185E75" w:rsidRDefault="00185E75" w:rsidP="00DE601E">
            <w:pPr>
              <w:jc w:val="left"/>
              <w:rPr>
                <w:rFonts w:asciiTheme="minorHAnsi" w:hAnsiTheme="minorHAnsi"/>
                <w:sz w:val="18"/>
                <w:szCs w:val="18"/>
              </w:rPr>
            </w:pPr>
            <w:r w:rsidRPr="00185E75">
              <w:rPr>
                <w:rFonts w:asciiTheme="minorHAnsi" w:hAnsiTheme="minorHAnsi"/>
                <w:sz w:val="18"/>
                <w:szCs w:val="18"/>
              </w:rPr>
              <w:t>Ван снаге</w:t>
            </w:r>
          </w:p>
        </w:tc>
        <w:tc>
          <w:tcPr>
            <w:tcW w:w="1134"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252</w:t>
            </w:r>
          </w:p>
        </w:tc>
        <w:tc>
          <w:tcPr>
            <w:tcW w:w="1513"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31.734.629,00</w:t>
            </w:r>
          </w:p>
        </w:tc>
        <w:tc>
          <w:tcPr>
            <w:tcW w:w="1389"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22.214.240,30</w:t>
            </w:r>
          </w:p>
        </w:tc>
        <w:tc>
          <w:tcPr>
            <w:tcW w:w="1351"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0,00</w:t>
            </w:r>
          </w:p>
        </w:tc>
        <w:tc>
          <w:tcPr>
            <w:tcW w:w="1275"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52,10%</w:t>
            </w:r>
          </w:p>
        </w:tc>
      </w:tr>
      <w:tr w:rsidR="00185E75" w:rsidRPr="00185E75" w:rsidTr="00185E75">
        <w:trPr>
          <w:trHeight w:val="5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185E75" w:rsidRPr="00185E75" w:rsidRDefault="00185E75" w:rsidP="00DE601E">
            <w:pPr>
              <w:ind w:right="-108"/>
              <w:jc w:val="left"/>
              <w:rPr>
                <w:rFonts w:asciiTheme="minorHAnsi" w:hAnsiTheme="minorHAnsi"/>
                <w:sz w:val="18"/>
                <w:szCs w:val="18"/>
              </w:rPr>
            </w:pPr>
            <w:r w:rsidRPr="00185E75">
              <w:rPr>
                <w:rFonts w:asciiTheme="minorHAnsi" w:hAnsiTheme="minorHAnsi"/>
                <w:sz w:val="18"/>
                <w:szCs w:val="18"/>
              </w:rPr>
              <w:t xml:space="preserve">Протестовано и плаћено </w:t>
            </w:r>
          </w:p>
        </w:tc>
        <w:tc>
          <w:tcPr>
            <w:tcW w:w="1134"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sz w:val="18"/>
                <w:szCs w:val="18"/>
              </w:rPr>
            </w:pPr>
            <w:r w:rsidRPr="00185E75">
              <w:rPr>
                <w:rFonts w:asciiTheme="minorHAnsi" w:hAnsiTheme="minorHAnsi"/>
                <w:sz w:val="18"/>
                <w:szCs w:val="18"/>
              </w:rPr>
              <w:t>5</w:t>
            </w:r>
          </w:p>
        </w:tc>
        <w:tc>
          <w:tcPr>
            <w:tcW w:w="1513"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750.000,00</w:t>
            </w:r>
          </w:p>
        </w:tc>
        <w:tc>
          <w:tcPr>
            <w:tcW w:w="1389"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525.000,00</w:t>
            </w:r>
          </w:p>
        </w:tc>
        <w:tc>
          <w:tcPr>
            <w:tcW w:w="1351"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sz w:val="18"/>
                <w:szCs w:val="18"/>
              </w:rPr>
            </w:pPr>
            <w:r w:rsidRPr="00185E75">
              <w:rPr>
                <w:rFonts w:asciiTheme="minorHAnsi" w:hAnsiTheme="minorHAnsi"/>
                <w:sz w:val="18"/>
                <w:szCs w:val="18"/>
              </w:rPr>
              <w:t>0,00</w:t>
            </w:r>
          </w:p>
        </w:tc>
        <w:tc>
          <w:tcPr>
            <w:tcW w:w="1275"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sz w:val="18"/>
                <w:szCs w:val="18"/>
              </w:rPr>
            </w:pPr>
            <w:r w:rsidRPr="00185E75">
              <w:rPr>
                <w:rFonts w:asciiTheme="minorHAnsi" w:hAnsiTheme="minorHAnsi"/>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185E75" w:rsidRPr="00185E75" w:rsidRDefault="00185E75" w:rsidP="00DE601E">
            <w:pPr>
              <w:jc w:val="right"/>
              <w:rPr>
                <w:rFonts w:asciiTheme="minorHAnsi" w:hAnsiTheme="minorHAnsi"/>
                <w:color w:val="auto"/>
                <w:sz w:val="18"/>
                <w:szCs w:val="18"/>
              </w:rPr>
            </w:pPr>
            <w:r w:rsidRPr="00185E75">
              <w:rPr>
                <w:rFonts w:asciiTheme="minorHAnsi" w:hAnsiTheme="minorHAnsi"/>
                <w:color w:val="auto"/>
                <w:sz w:val="18"/>
                <w:szCs w:val="18"/>
              </w:rPr>
              <w:t>1,23%</w:t>
            </w:r>
          </w:p>
        </w:tc>
      </w:tr>
      <w:tr w:rsidR="00185E75" w:rsidRPr="00185E75" w:rsidTr="00185E75">
        <w:trPr>
          <w:trHeight w:val="315"/>
        </w:trPr>
        <w:tc>
          <w:tcPr>
            <w:tcW w:w="1276" w:type="dxa"/>
            <w:tcBorders>
              <w:top w:val="nil"/>
              <w:left w:val="single" w:sz="4" w:space="0" w:color="auto"/>
              <w:bottom w:val="single" w:sz="4" w:space="0" w:color="auto"/>
              <w:right w:val="single" w:sz="4" w:space="0" w:color="auto"/>
            </w:tcBorders>
            <w:shd w:val="clear" w:color="000000" w:fill="8DB4E2"/>
            <w:noWrap/>
            <w:vAlign w:val="center"/>
            <w:hideMark/>
          </w:tcPr>
          <w:p w:rsidR="00185E75" w:rsidRPr="00185E75" w:rsidRDefault="00185E75" w:rsidP="00DE601E">
            <w:pPr>
              <w:jc w:val="center"/>
              <w:rPr>
                <w:rFonts w:asciiTheme="minorHAnsi" w:hAnsiTheme="minorHAnsi"/>
                <w:b/>
                <w:bCs/>
                <w:sz w:val="18"/>
                <w:szCs w:val="18"/>
              </w:rPr>
            </w:pPr>
            <w:r w:rsidRPr="00185E75">
              <w:rPr>
                <w:rFonts w:asciiTheme="minorHAnsi" w:hAnsiTheme="minorHAnsi"/>
                <w:b/>
                <w:bCs/>
                <w:sz w:val="18"/>
                <w:szCs w:val="18"/>
              </w:rPr>
              <w:t>УКУПНО</w:t>
            </w:r>
          </w:p>
        </w:tc>
        <w:tc>
          <w:tcPr>
            <w:tcW w:w="1134" w:type="dxa"/>
            <w:tcBorders>
              <w:top w:val="nil"/>
              <w:left w:val="nil"/>
              <w:bottom w:val="single" w:sz="4" w:space="0" w:color="auto"/>
              <w:right w:val="single" w:sz="4" w:space="0" w:color="auto"/>
            </w:tcBorders>
            <w:shd w:val="clear" w:color="000000" w:fill="8DB4E2"/>
            <w:noWrap/>
            <w:vAlign w:val="center"/>
            <w:hideMark/>
          </w:tcPr>
          <w:p w:rsidR="00185E75" w:rsidRPr="00185E75" w:rsidRDefault="00185E75" w:rsidP="00DE601E">
            <w:pPr>
              <w:jc w:val="right"/>
              <w:rPr>
                <w:rFonts w:asciiTheme="minorHAnsi" w:hAnsiTheme="minorHAnsi"/>
                <w:b/>
                <w:bCs/>
                <w:sz w:val="18"/>
                <w:szCs w:val="18"/>
              </w:rPr>
            </w:pPr>
            <w:r w:rsidRPr="00185E75">
              <w:rPr>
                <w:rFonts w:asciiTheme="minorHAnsi" w:hAnsiTheme="minorHAnsi"/>
                <w:b/>
                <w:bCs/>
                <w:sz w:val="18"/>
                <w:szCs w:val="18"/>
              </w:rPr>
              <w:t>416</w:t>
            </w:r>
          </w:p>
        </w:tc>
        <w:tc>
          <w:tcPr>
            <w:tcW w:w="1513" w:type="dxa"/>
            <w:tcBorders>
              <w:top w:val="nil"/>
              <w:left w:val="nil"/>
              <w:bottom w:val="single" w:sz="4" w:space="0" w:color="auto"/>
              <w:right w:val="single" w:sz="4" w:space="0" w:color="auto"/>
            </w:tcBorders>
            <w:shd w:val="clear" w:color="000000" w:fill="8DB4E2"/>
            <w:noWrap/>
            <w:vAlign w:val="center"/>
            <w:hideMark/>
          </w:tcPr>
          <w:p w:rsidR="00185E75" w:rsidRPr="00185E75" w:rsidRDefault="00185E75" w:rsidP="00DE601E">
            <w:pPr>
              <w:jc w:val="right"/>
              <w:rPr>
                <w:rFonts w:asciiTheme="minorHAnsi" w:hAnsiTheme="minorHAnsi"/>
                <w:b/>
                <w:bCs/>
                <w:sz w:val="18"/>
                <w:szCs w:val="18"/>
              </w:rPr>
            </w:pPr>
            <w:r w:rsidRPr="00185E75">
              <w:rPr>
                <w:rFonts w:asciiTheme="minorHAnsi" w:hAnsiTheme="minorHAnsi"/>
                <w:b/>
                <w:bCs/>
                <w:sz w:val="18"/>
                <w:szCs w:val="18"/>
              </w:rPr>
              <w:t>60.910.629,00</w:t>
            </w:r>
          </w:p>
        </w:tc>
        <w:tc>
          <w:tcPr>
            <w:tcW w:w="1389" w:type="dxa"/>
            <w:tcBorders>
              <w:top w:val="nil"/>
              <w:left w:val="nil"/>
              <w:bottom w:val="single" w:sz="4" w:space="0" w:color="auto"/>
              <w:right w:val="single" w:sz="4" w:space="0" w:color="auto"/>
            </w:tcBorders>
            <w:shd w:val="clear" w:color="000000" w:fill="8DB4E2"/>
            <w:noWrap/>
            <w:vAlign w:val="center"/>
            <w:hideMark/>
          </w:tcPr>
          <w:p w:rsidR="00185E75" w:rsidRPr="00185E75" w:rsidRDefault="00185E75" w:rsidP="00DE601E">
            <w:pPr>
              <w:jc w:val="right"/>
              <w:rPr>
                <w:rFonts w:asciiTheme="minorHAnsi" w:hAnsiTheme="minorHAnsi"/>
                <w:b/>
                <w:bCs/>
                <w:sz w:val="18"/>
                <w:szCs w:val="18"/>
              </w:rPr>
            </w:pPr>
            <w:r w:rsidRPr="00185E75">
              <w:rPr>
                <w:rFonts w:asciiTheme="minorHAnsi" w:hAnsiTheme="minorHAnsi"/>
                <w:b/>
                <w:bCs/>
                <w:sz w:val="18"/>
                <w:szCs w:val="18"/>
              </w:rPr>
              <w:t>42.637.440,30</w:t>
            </w:r>
          </w:p>
        </w:tc>
        <w:tc>
          <w:tcPr>
            <w:tcW w:w="1351" w:type="dxa"/>
            <w:tcBorders>
              <w:top w:val="nil"/>
              <w:left w:val="nil"/>
              <w:bottom w:val="single" w:sz="4" w:space="0" w:color="auto"/>
              <w:right w:val="single" w:sz="4" w:space="0" w:color="auto"/>
            </w:tcBorders>
            <w:shd w:val="clear" w:color="000000" w:fill="8DB4E2"/>
            <w:noWrap/>
            <w:vAlign w:val="center"/>
            <w:hideMark/>
          </w:tcPr>
          <w:p w:rsidR="00185E75" w:rsidRPr="00185E75" w:rsidRDefault="00185E75" w:rsidP="00DE601E">
            <w:pPr>
              <w:jc w:val="right"/>
              <w:rPr>
                <w:rFonts w:asciiTheme="minorHAnsi" w:hAnsiTheme="minorHAnsi"/>
                <w:b/>
                <w:bCs/>
                <w:sz w:val="18"/>
                <w:szCs w:val="18"/>
              </w:rPr>
            </w:pPr>
            <w:r w:rsidRPr="00185E75">
              <w:rPr>
                <w:rFonts w:asciiTheme="minorHAnsi" w:hAnsiTheme="minorHAnsi"/>
                <w:b/>
                <w:bCs/>
                <w:sz w:val="18"/>
                <w:szCs w:val="18"/>
              </w:rPr>
              <w:t>10.977.651,75</w:t>
            </w:r>
          </w:p>
        </w:tc>
        <w:tc>
          <w:tcPr>
            <w:tcW w:w="1275" w:type="dxa"/>
            <w:tcBorders>
              <w:top w:val="nil"/>
              <w:left w:val="nil"/>
              <w:bottom w:val="single" w:sz="4" w:space="0" w:color="auto"/>
              <w:right w:val="single" w:sz="4" w:space="0" w:color="auto"/>
            </w:tcBorders>
            <w:shd w:val="clear" w:color="000000" w:fill="8DB4E2"/>
            <w:noWrap/>
            <w:vAlign w:val="center"/>
            <w:hideMark/>
          </w:tcPr>
          <w:p w:rsidR="00185E75" w:rsidRPr="00185E75" w:rsidRDefault="00185E75" w:rsidP="00DE601E">
            <w:pPr>
              <w:jc w:val="right"/>
              <w:rPr>
                <w:rFonts w:asciiTheme="minorHAnsi" w:hAnsiTheme="minorHAnsi"/>
                <w:b/>
                <w:bCs/>
                <w:sz w:val="18"/>
                <w:szCs w:val="18"/>
              </w:rPr>
            </w:pPr>
            <w:r w:rsidRPr="00185E75">
              <w:rPr>
                <w:rFonts w:asciiTheme="minorHAnsi" w:hAnsiTheme="minorHAnsi"/>
                <w:b/>
                <w:bCs/>
                <w:sz w:val="18"/>
                <w:szCs w:val="18"/>
              </w:rPr>
              <w:t>7.684.356,23</w:t>
            </w:r>
          </w:p>
        </w:tc>
        <w:tc>
          <w:tcPr>
            <w:tcW w:w="851" w:type="dxa"/>
            <w:tcBorders>
              <w:top w:val="nil"/>
              <w:left w:val="nil"/>
              <w:bottom w:val="single" w:sz="4" w:space="0" w:color="auto"/>
              <w:right w:val="single" w:sz="4" w:space="0" w:color="auto"/>
            </w:tcBorders>
            <w:shd w:val="clear" w:color="000000" w:fill="8DB4E2"/>
            <w:noWrap/>
            <w:vAlign w:val="center"/>
            <w:hideMark/>
          </w:tcPr>
          <w:p w:rsidR="00185E75" w:rsidRPr="00185E75" w:rsidRDefault="00185E75" w:rsidP="00DE601E">
            <w:pPr>
              <w:jc w:val="right"/>
              <w:rPr>
                <w:rFonts w:asciiTheme="minorHAnsi" w:hAnsiTheme="minorHAnsi"/>
                <w:b/>
                <w:bCs/>
                <w:sz w:val="18"/>
                <w:szCs w:val="18"/>
              </w:rPr>
            </w:pPr>
            <w:r w:rsidRPr="00185E75">
              <w:rPr>
                <w:rFonts w:asciiTheme="minorHAnsi" w:hAnsiTheme="minorHAnsi"/>
                <w:b/>
                <w:bCs/>
                <w:sz w:val="18"/>
                <w:szCs w:val="18"/>
              </w:rPr>
              <w:t>100,00%</w:t>
            </w:r>
          </w:p>
        </w:tc>
      </w:tr>
    </w:tbl>
    <w:p w:rsidR="00185E75" w:rsidRPr="001C27A1" w:rsidRDefault="00185E75" w:rsidP="00DE601E">
      <w:pPr>
        <w:jc w:val="left"/>
        <w:rPr>
          <w:rFonts w:asciiTheme="minorHAnsi" w:eastAsiaTheme="minorHAnsi" w:hAnsiTheme="minorHAnsi"/>
          <w:color w:val="auto"/>
          <w:sz w:val="20"/>
          <w:szCs w:val="20"/>
          <w:lang w:val="sr-Cyrl-BA" w:eastAsia="en-US"/>
        </w:rPr>
      </w:pPr>
    </w:p>
    <w:p w:rsidR="00615026" w:rsidRDefault="00615026" w:rsidP="00DE601E">
      <w:pPr>
        <w:rPr>
          <w:rFonts w:asciiTheme="minorHAnsi" w:eastAsiaTheme="minorHAnsi" w:hAnsiTheme="minorHAnsi"/>
          <w:color w:val="auto"/>
          <w:sz w:val="20"/>
          <w:szCs w:val="20"/>
          <w:lang w:val="sr-Cyrl-BA" w:eastAsia="en-US"/>
        </w:rPr>
      </w:pPr>
    </w:p>
    <w:p w:rsidR="00185E75" w:rsidRDefault="009C697E" w:rsidP="00DE601E">
      <w:pPr>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 xml:space="preserve">До </w:t>
      </w:r>
      <w:r w:rsidRPr="00615026">
        <w:rPr>
          <w:rFonts w:asciiTheme="minorHAnsi" w:eastAsiaTheme="minorHAnsi" w:hAnsiTheme="minorHAnsi"/>
          <w:color w:val="auto"/>
          <w:sz w:val="20"/>
          <w:szCs w:val="20"/>
          <w:lang w:val="sr-Cyrl-BA" w:eastAsia="en-US"/>
        </w:rPr>
        <w:t>дана 31.12.202</w:t>
      </w:r>
      <w:r w:rsidR="00185E75" w:rsidRPr="00615026">
        <w:rPr>
          <w:rFonts w:asciiTheme="minorHAnsi" w:eastAsiaTheme="minorHAnsi" w:hAnsiTheme="minorHAnsi"/>
          <w:color w:val="auto"/>
          <w:sz w:val="20"/>
          <w:szCs w:val="20"/>
          <w:lang w:val="sr-Cyrl-BA" w:eastAsia="en-US"/>
        </w:rPr>
        <w:t>4</w:t>
      </w:r>
      <w:r w:rsidRPr="00615026">
        <w:rPr>
          <w:rFonts w:asciiTheme="minorHAnsi" w:eastAsiaTheme="minorHAnsi" w:hAnsiTheme="minorHAnsi"/>
          <w:color w:val="auto"/>
          <w:sz w:val="20"/>
          <w:szCs w:val="20"/>
          <w:lang w:val="sr-Cyrl-BA" w:eastAsia="en-US"/>
        </w:rPr>
        <w:t xml:space="preserve">. године, ван снаге су стављене укупно </w:t>
      </w:r>
      <w:r w:rsidR="00185E75" w:rsidRPr="00615026">
        <w:rPr>
          <w:rFonts w:asciiTheme="minorHAnsi" w:eastAsiaTheme="minorHAnsi" w:hAnsiTheme="minorHAnsi"/>
          <w:color w:val="auto"/>
          <w:sz w:val="20"/>
          <w:szCs w:val="20"/>
          <w:lang w:val="sr-Cyrl-BA" w:eastAsia="en-US"/>
        </w:rPr>
        <w:t>25</w:t>
      </w:r>
      <w:r w:rsidRPr="00615026">
        <w:rPr>
          <w:rFonts w:asciiTheme="minorHAnsi" w:eastAsiaTheme="minorHAnsi" w:hAnsiTheme="minorHAnsi"/>
          <w:color w:val="auto"/>
          <w:sz w:val="20"/>
          <w:szCs w:val="20"/>
          <w:lang w:val="sr-Cyrl-BA" w:eastAsia="en-US"/>
        </w:rPr>
        <w:t xml:space="preserve">2 гаранције одобрене у номиналном износу од </w:t>
      </w:r>
      <w:r w:rsidR="00615026" w:rsidRPr="00615026">
        <w:rPr>
          <w:rFonts w:asciiTheme="minorHAnsi" w:hAnsiTheme="minorHAnsi"/>
          <w:color w:val="auto"/>
          <w:sz w:val="20"/>
          <w:szCs w:val="20"/>
        </w:rPr>
        <w:t>22.214.240,30</w:t>
      </w:r>
      <w:r w:rsidR="00615026" w:rsidRPr="00615026">
        <w:rPr>
          <w:rFonts w:asciiTheme="minorHAnsi" w:hAnsiTheme="minorHAnsi"/>
          <w:color w:val="auto"/>
          <w:sz w:val="20"/>
          <w:szCs w:val="20"/>
          <w:lang w:val="sr-Cyrl-RS"/>
        </w:rPr>
        <w:t xml:space="preserve"> </w:t>
      </w:r>
      <w:r w:rsidRPr="00615026">
        <w:rPr>
          <w:rFonts w:asciiTheme="minorHAnsi" w:eastAsiaTheme="minorHAnsi" w:hAnsiTheme="minorHAnsi"/>
          <w:color w:val="auto"/>
          <w:sz w:val="20"/>
          <w:szCs w:val="20"/>
          <w:lang w:val="sr-Cyrl-BA" w:eastAsia="en-US"/>
        </w:rPr>
        <w:t>КМ</w:t>
      </w:r>
      <w:r w:rsidRPr="001C27A1">
        <w:rPr>
          <w:rFonts w:asciiTheme="minorHAnsi" w:eastAsiaTheme="minorHAnsi" w:hAnsiTheme="minorHAnsi"/>
          <w:color w:val="auto"/>
          <w:sz w:val="20"/>
          <w:szCs w:val="20"/>
          <w:lang w:val="sr-Cyrl-BA" w:eastAsia="en-US"/>
        </w:rPr>
        <w:t xml:space="preserve">. </w:t>
      </w:r>
      <w:r w:rsidR="00615026">
        <w:rPr>
          <w:rFonts w:asciiTheme="minorHAnsi" w:eastAsiaTheme="minorHAnsi" w:hAnsiTheme="minorHAnsi"/>
          <w:color w:val="auto"/>
          <w:sz w:val="20"/>
          <w:szCs w:val="20"/>
          <w:lang w:val="sr-Cyrl-BA" w:eastAsia="en-US"/>
        </w:rPr>
        <w:t xml:space="preserve">Од наведеног броја, 110 гаранција одобрених у номиналном износу од  9.466.540,00 КМ је стављено ван снаге у 2024. години. Основ за стављање ван снаге је редовни истек, пријевремена отплата или одбијен протест због неиспуњености услова. </w:t>
      </w:r>
      <w:r w:rsidR="00185E75">
        <w:rPr>
          <w:rFonts w:asciiTheme="minorHAnsi" w:eastAsiaTheme="minorHAnsi" w:hAnsiTheme="minorHAnsi"/>
          <w:color w:val="auto"/>
          <w:sz w:val="20"/>
          <w:szCs w:val="20"/>
          <w:lang w:val="sr-Cyrl-BA" w:eastAsia="en-US"/>
        </w:rPr>
        <w:t xml:space="preserve">Током 2024. године је протестовано 9 гаранција у износу од 507.093,99 КМ, при чему је утврђено да је само један захтјев оправдан, те је извршено плаћање </w:t>
      </w:r>
      <w:r w:rsidR="0067565F">
        <w:rPr>
          <w:rFonts w:asciiTheme="minorHAnsi" w:eastAsiaTheme="minorHAnsi" w:hAnsiTheme="minorHAnsi"/>
          <w:color w:val="auto"/>
          <w:sz w:val="20"/>
          <w:szCs w:val="20"/>
          <w:lang w:val="sr-Cyrl-BA" w:eastAsia="en-US"/>
        </w:rPr>
        <w:t>у износу 37.575,83 КМ, што одговара стању гаранције на дан протеста. Преосталих 8 протестованих гаранција је по аутоматизму стављено</w:t>
      </w:r>
      <w:r w:rsidR="00185E75">
        <w:rPr>
          <w:rFonts w:asciiTheme="minorHAnsi" w:eastAsiaTheme="minorHAnsi" w:hAnsiTheme="minorHAnsi"/>
          <w:color w:val="auto"/>
          <w:sz w:val="20"/>
          <w:szCs w:val="20"/>
          <w:lang w:val="sr-Cyrl-BA" w:eastAsia="en-US"/>
        </w:rPr>
        <w:t xml:space="preserve"> ван снаге</w:t>
      </w:r>
      <w:r w:rsidR="006B0FF2">
        <w:rPr>
          <w:rFonts w:asciiTheme="minorHAnsi" w:eastAsiaTheme="minorHAnsi" w:hAnsiTheme="minorHAnsi"/>
          <w:color w:val="auto"/>
          <w:sz w:val="20"/>
          <w:szCs w:val="20"/>
          <w:lang w:val="sr-Cyrl-BA" w:eastAsia="en-US"/>
        </w:rPr>
        <w:t>, као и 102 гаранције које су редовно истекле или су кредити отплаћени прије времена.</w:t>
      </w:r>
    </w:p>
    <w:p w:rsidR="0067565F" w:rsidRDefault="0067565F" w:rsidP="00DE601E">
      <w:pPr>
        <w:rPr>
          <w:rFonts w:asciiTheme="minorHAnsi" w:eastAsiaTheme="minorHAnsi" w:hAnsiTheme="minorHAnsi"/>
          <w:color w:val="auto"/>
          <w:sz w:val="20"/>
          <w:szCs w:val="20"/>
          <w:lang w:val="sr-Cyrl-BA" w:eastAsia="en-US"/>
        </w:rPr>
      </w:pPr>
    </w:p>
    <w:p w:rsidR="00545FA4" w:rsidRPr="001C27A1" w:rsidRDefault="00545FA4" w:rsidP="00DE601E">
      <w:pPr>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На дан 31.12.202</w:t>
      </w:r>
      <w:r w:rsidR="0067565F">
        <w:rPr>
          <w:rFonts w:asciiTheme="minorHAnsi" w:eastAsiaTheme="minorHAnsi" w:hAnsiTheme="minorHAnsi"/>
          <w:color w:val="auto"/>
          <w:sz w:val="20"/>
          <w:szCs w:val="20"/>
          <w:lang w:val="sr-Cyrl-BA" w:eastAsia="en-US"/>
        </w:rPr>
        <w:t>4</w:t>
      </w:r>
      <w:r w:rsidRPr="001C27A1">
        <w:rPr>
          <w:rFonts w:asciiTheme="minorHAnsi" w:eastAsiaTheme="minorHAnsi" w:hAnsiTheme="minorHAnsi"/>
          <w:color w:val="auto"/>
          <w:sz w:val="20"/>
          <w:szCs w:val="20"/>
          <w:lang w:val="sr-Cyrl-BA" w:eastAsia="en-US"/>
        </w:rPr>
        <w:t xml:space="preserve">. </w:t>
      </w:r>
      <w:r w:rsidRPr="008D07B2">
        <w:rPr>
          <w:rFonts w:asciiTheme="minorHAnsi" w:eastAsiaTheme="minorHAnsi" w:hAnsiTheme="minorHAnsi"/>
          <w:color w:val="auto"/>
          <w:sz w:val="20"/>
          <w:szCs w:val="20"/>
          <w:lang w:val="sr-Cyrl-BA" w:eastAsia="en-US"/>
        </w:rPr>
        <w:t xml:space="preserve">године, активно је </w:t>
      </w:r>
      <w:r w:rsidR="0067565F" w:rsidRPr="008D07B2">
        <w:rPr>
          <w:rFonts w:asciiTheme="minorHAnsi" w:eastAsiaTheme="minorHAnsi" w:hAnsiTheme="minorHAnsi"/>
          <w:color w:val="auto"/>
          <w:sz w:val="20"/>
          <w:szCs w:val="20"/>
          <w:lang w:val="sr-Cyrl-BA" w:eastAsia="en-US"/>
        </w:rPr>
        <w:t>159</w:t>
      </w:r>
      <w:r w:rsidRPr="008D07B2">
        <w:rPr>
          <w:rFonts w:asciiTheme="minorHAnsi" w:eastAsiaTheme="minorHAnsi" w:hAnsiTheme="minorHAnsi"/>
          <w:color w:val="auto"/>
          <w:sz w:val="20"/>
          <w:szCs w:val="20"/>
          <w:lang w:val="sr-Cyrl-BA" w:eastAsia="en-US"/>
        </w:rPr>
        <w:t xml:space="preserve"> гаранција које су одобрене у номиналном износу од </w:t>
      </w:r>
      <w:r w:rsidR="0067565F" w:rsidRPr="008D07B2">
        <w:rPr>
          <w:rFonts w:asciiTheme="minorHAnsi" w:hAnsiTheme="minorHAnsi"/>
          <w:color w:val="auto"/>
          <w:sz w:val="20"/>
          <w:szCs w:val="20"/>
        </w:rPr>
        <w:t>19.898.200,00</w:t>
      </w:r>
      <w:r w:rsidR="0067565F" w:rsidRPr="008D07B2">
        <w:rPr>
          <w:rFonts w:asciiTheme="minorHAnsi" w:hAnsiTheme="minorHAnsi"/>
          <w:color w:val="auto"/>
          <w:sz w:val="20"/>
          <w:szCs w:val="20"/>
          <w:lang w:val="sr-Cyrl-RS"/>
        </w:rPr>
        <w:t xml:space="preserve"> КМ</w:t>
      </w:r>
      <w:r w:rsidRPr="008D07B2">
        <w:rPr>
          <w:rFonts w:asciiTheme="minorHAnsi" w:eastAsiaTheme="minorHAnsi" w:hAnsiTheme="minorHAnsi"/>
          <w:color w:val="auto"/>
          <w:sz w:val="20"/>
          <w:szCs w:val="20"/>
          <w:lang w:val="sr-Cyrl-BA" w:eastAsia="en-US"/>
        </w:rPr>
        <w:t xml:space="preserve">, чије стање на овај дан износи </w:t>
      </w:r>
      <w:r w:rsidR="0067565F" w:rsidRPr="008D07B2">
        <w:rPr>
          <w:rFonts w:asciiTheme="minorHAnsi" w:hAnsiTheme="minorHAnsi"/>
          <w:sz w:val="20"/>
          <w:szCs w:val="20"/>
        </w:rPr>
        <w:t>7.684.356,23</w:t>
      </w:r>
      <w:r w:rsidRPr="008D07B2">
        <w:rPr>
          <w:rFonts w:asciiTheme="minorHAnsi" w:eastAsiaTheme="minorHAnsi" w:hAnsiTheme="minorHAnsi"/>
          <w:color w:val="auto"/>
          <w:sz w:val="20"/>
          <w:szCs w:val="20"/>
          <w:lang w:val="sr-Cyrl-BA" w:eastAsia="en-US"/>
        </w:rPr>
        <w:t>КМ.</w:t>
      </w:r>
      <w:r w:rsidRPr="008D07B2">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t xml:space="preserve">        </w:t>
      </w:r>
    </w:p>
    <w:p w:rsidR="00545FA4" w:rsidRPr="001C27A1" w:rsidRDefault="00545FA4" w:rsidP="00DE601E">
      <w:pPr>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 xml:space="preserve">Преглед стања гаранција и максимално дозвољеног износа гаранција на нивоу  кредитног портфеља финансијских посредника у </w:t>
      </w:r>
      <w:r w:rsidRPr="001C27A1">
        <w:rPr>
          <w:rFonts w:asciiTheme="minorHAnsi" w:eastAsiaTheme="minorHAnsi" w:hAnsiTheme="minorHAnsi"/>
          <w:b/>
          <w:noProof/>
          <w:color w:val="auto"/>
          <w:sz w:val="20"/>
          <w:szCs w:val="20"/>
          <w:lang w:val="sr-Cyrl-BA"/>
        </w:rPr>
        <w:t xml:space="preserve"> </w:t>
      </w:r>
      <w:r w:rsidRPr="001C27A1">
        <w:rPr>
          <w:rFonts w:asciiTheme="minorHAnsi" w:eastAsiaTheme="minorHAnsi" w:hAnsiTheme="minorHAnsi"/>
          <w:b/>
          <w:color w:val="auto"/>
          <w:sz w:val="20"/>
          <w:szCs w:val="20"/>
          <w:lang w:val="sr-Cyrl-BA" w:eastAsia="en-US"/>
        </w:rPr>
        <w:t xml:space="preserve">Гарантном програму </w:t>
      </w:r>
      <w:r w:rsidRPr="001C27A1">
        <w:rPr>
          <w:rFonts w:asciiTheme="minorHAnsi" w:eastAsiaTheme="minorHAnsi" w:hAnsiTheme="minorHAnsi"/>
          <w:b/>
          <w:color w:val="auto"/>
          <w:sz w:val="20"/>
          <w:szCs w:val="20"/>
          <w:lang w:val="sr-Latn-BA" w:eastAsia="en-US"/>
        </w:rPr>
        <w:t xml:space="preserve"> COVID 19</w:t>
      </w:r>
      <w:r w:rsidRPr="001C27A1">
        <w:rPr>
          <w:rFonts w:asciiTheme="minorHAnsi" w:eastAsiaTheme="minorHAnsi" w:hAnsiTheme="minorHAnsi"/>
          <w:b/>
          <w:color w:val="auto"/>
          <w:sz w:val="20"/>
          <w:szCs w:val="20"/>
          <w:lang w:val="sr-Cyrl-BA" w:eastAsia="en-US"/>
        </w:rPr>
        <w:t xml:space="preserve"> </w:t>
      </w:r>
      <w:r w:rsidRPr="001C27A1">
        <w:rPr>
          <w:rFonts w:asciiTheme="minorHAnsi" w:eastAsiaTheme="minorHAnsi" w:hAnsiTheme="minorHAnsi"/>
          <w:b/>
          <w:color w:val="auto"/>
          <w:sz w:val="20"/>
          <w:szCs w:val="20"/>
          <w:lang w:val="sr-Cyrl-RS" w:eastAsia="en-US"/>
        </w:rPr>
        <w:t>на дан 31.12.</w:t>
      </w:r>
      <w:r w:rsidR="008D07B2">
        <w:rPr>
          <w:rFonts w:asciiTheme="minorHAnsi" w:eastAsiaTheme="minorHAnsi" w:hAnsiTheme="minorHAnsi"/>
          <w:b/>
          <w:color w:val="auto"/>
          <w:sz w:val="20"/>
          <w:szCs w:val="20"/>
          <w:lang w:val="sr-Cyrl-RS" w:eastAsia="en-US"/>
        </w:rPr>
        <w:t>2024.</w:t>
      </w:r>
      <w:r w:rsidRPr="001C27A1">
        <w:rPr>
          <w:rFonts w:asciiTheme="minorHAnsi" w:eastAsiaTheme="minorHAnsi" w:hAnsiTheme="minorHAnsi"/>
          <w:b/>
          <w:color w:val="auto"/>
          <w:sz w:val="20"/>
          <w:szCs w:val="20"/>
          <w:lang w:val="sr-Cyrl-RS" w:eastAsia="en-US"/>
        </w:rPr>
        <w:t xml:space="preserve"> године</w:t>
      </w:r>
    </w:p>
    <w:p w:rsidR="00545FA4" w:rsidRPr="001C27A1" w:rsidRDefault="00545FA4" w:rsidP="00DE601E">
      <w:pPr>
        <w:rPr>
          <w:rFonts w:asciiTheme="minorHAnsi" w:eastAsiaTheme="minorHAnsi" w:hAnsiTheme="minorHAnsi"/>
          <w:color w:val="000000" w:themeColor="text1"/>
          <w:sz w:val="20"/>
          <w:szCs w:val="20"/>
          <w:lang w:val="sr-Cyrl-RS" w:eastAsia="en-US"/>
        </w:rPr>
      </w:pPr>
    </w:p>
    <w:p w:rsidR="00545FA4" w:rsidRPr="008D07B2" w:rsidRDefault="00545FA4" w:rsidP="00DE601E">
      <w:pPr>
        <w:rPr>
          <w:rFonts w:asciiTheme="minorHAnsi" w:eastAsiaTheme="minorHAnsi" w:hAnsiTheme="minorHAnsi"/>
          <w:b/>
          <w:color w:val="000000" w:themeColor="text1"/>
          <w:sz w:val="20"/>
          <w:szCs w:val="20"/>
          <w:lang w:val="sr-Cyrl-RS" w:eastAsia="en-US"/>
        </w:rPr>
      </w:pP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b/>
          <w:color w:val="000000" w:themeColor="text1"/>
          <w:sz w:val="20"/>
          <w:szCs w:val="20"/>
          <w:lang w:val="sr-Cyrl-RS" w:eastAsia="en-US"/>
        </w:rPr>
        <w:t xml:space="preserve">Табела </w:t>
      </w:r>
      <w:r w:rsidR="0034546F">
        <w:rPr>
          <w:rFonts w:asciiTheme="minorHAnsi" w:eastAsiaTheme="minorHAnsi" w:hAnsiTheme="minorHAnsi"/>
          <w:b/>
          <w:color w:val="000000" w:themeColor="text1"/>
          <w:sz w:val="20"/>
          <w:szCs w:val="20"/>
          <w:lang w:val="sr-Cyrl-RS" w:eastAsia="en-US"/>
        </w:rPr>
        <w:t>16</w:t>
      </w:r>
    </w:p>
    <w:tbl>
      <w:tblPr>
        <w:tblW w:w="8647" w:type="dxa"/>
        <w:tblInd w:w="108" w:type="dxa"/>
        <w:tblLook w:val="04A0" w:firstRow="1" w:lastRow="0" w:firstColumn="1" w:lastColumn="0" w:noHBand="0" w:noVBand="1"/>
      </w:tblPr>
      <w:tblGrid>
        <w:gridCol w:w="2977"/>
        <w:gridCol w:w="1559"/>
        <w:gridCol w:w="1418"/>
        <w:gridCol w:w="1417"/>
        <w:gridCol w:w="1276"/>
      </w:tblGrid>
      <w:tr w:rsidR="008D07B2" w:rsidRPr="008D07B2" w:rsidTr="008D07B2">
        <w:trPr>
          <w:trHeight w:val="1440"/>
        </w:trPr>
        <w:tc>
          <w:tcPr>
            <w:tcW w:w="297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Назив банке</w:t>
            </w:r>
          </w:p>
        </w:tc>
        <w:tc>
          <w:tcPr>
            <w:tcW w:w="1559" w:type="dxa"/>
            <w:tcBorders>
              <w:top w:val="single" w:sz="4" w:space="0" w:color="auto"/>
              <w:left w:val="nil"/>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Број активних гаранција на дан 31.12.2024.</w:t>
            </w:r>
          </w:p>
        </w:tc>
        <w:tc>
          <w:tcPr>
            <w:tcW w:w="1418" w:type="dxa"/>
            <w:tcBorders>
              <w:top w:val="single" w:sz="4" w:space="0" w:color="auto"/>
              <w:left w:val="nil"/>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Стање кредита на дан 31.12.2024.</w:t>
            </w:r>
          </w:p>
        </w:tc>
        <w:tc>
          <w:tcPr>
            <w:tcW w:w="1417" w:type="dxa"/>
            <w:tcBorders>
              <w:top w:val="single" w:sz="4" w:space="0" w:color="auto"/>
              <w:left w:val="nil"/>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Стање гаранцијa на дан 31.12.2024.</w:t>
            </w:r>
          </w:p>
        </w:tc>
        <w:tc>
          <w:tcPr>
            <w:tcW w:w="1276" w:type="dxa"/>
            <w:tcBorders>
              <w:top w:val="single" w:sz="4" w:space="0" w:color="auto"/>
              <w:left w:val="nil"/>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Максимални дозвољени износ гаранције (уз макс. стопу покрића 21%) на дан 31.12.2024.</w:t>
            </w:r>
          </w:p>
        </w:tc>
      </w:tr>
      <w:tr w:rsidR="008D07B2" w:rsidRPr="008D07B2" w:rsidTr="008D07B2">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Procredit bank д.д. Сарајево</w:t>
            </w:r>
          </w:p>
        </w:tc>
        <w:tc>
          <w:tcPr>
            <w:tcW w:w="1559"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88</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8.157.770,52</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5.710.439,36</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1.713.131,81</w:t>
            </w:r>
          </w:p>
        </w:tc>
      </w:tr>
      <w:tr w:rsidR="008D07B2" w:rsidRPr="008D07B2" w:rsidTr="008D07B2">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МФ банка а.д. Бања Лука</w:t>
            </w:r>
          </w:p>
        </w:tc>
        <w:tc>
          <w:tcPr>
            <w:tcW w:w="1559"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35</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1.710.258,28</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1.197.180,80</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359.154,24</w:t>
            </w:r>
          </w:p>
        </w:tc>
      </w:tr>
      <w:tr w:rsidR="008D07B2" w:rsidRPr="008D07B2" w:rsidTr="008D07B2">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Нова банка а.д. Бања Лука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14</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641.709,88</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449.196,92</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134.759,07</w:t>
            </w:r>
          </w:p>
        </w:tc>
      </w:tr>
      <w:tr w:rsidR="008D07B2" w:rsidRPr="008D07B2" w:rsidTr="008D07B2">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Unicredit bank а.д. Бања Лука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6</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286.704,42</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200.693,09</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60.207,93</w:t>
            </w:r>
          </w:p>
        </w:tc>
      </w:tr>
      <w:tr w:rsidR="008D07B2" w:rsidRPr="008D07B2" w:rsidTr="008D07B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ATOS BANK а.д. Бања Лука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9</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94.514,58</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66.160,21</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19.848,06</w:t>
            </w:r>
          </w:p>
        </w:tc>
      </w:tr>
      <w:tr w:rsidR="008D07B2" w:rsidRPr="008D07B2" w:rsidTr="008D07B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Raiffeisen bank д.д. Босна и Херцеговина</w:t>
            </w:r>
          </w:p>
        </w:tc>
        <w:tc>
          <w:tcPr>
            <w:tcW w:w="1559"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53.745,51</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37.621,86</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11.286,56</w:t>
            </w:r>
          </w:p>
        </w:tc>
      </w:tr>
      <w:tr w:rsidR="008D07B2" w:rsidRPr="008D07B2" w:rsidTr="008D07B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Банка Поштанска штедионица а.д. Бања Лука</w:t>
            </w:r>
          </w:p>
        </w:tc>
        <w:tc>
          <w:tcPr>
            <w:tcW w:w="1559"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2</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9.809,11</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6.866,38</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2.059,91</w:t>
            </w:r>
          </w:p>
        </w:tc>
      </w:tr>
      <w:tr w:rsidR="008D07B2" w:rsidRPr="008D07B2" w:rsidTr="008D07B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НЛБ банка а.д. Бања Лука</w:t>
            </w:r>
          </w:p>
        </w:tc>
        <w:tc>
          <w:tcPr>
            <w:tcW w:w="1559"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2</w:t>
            </w:r>
          </w:p>
        </w:tc>
        <w:tc>
          <w:tcPr>
            <w:tcW w:w="1418" w:type="dxa"/>
            <w:tcBorders>
              <w:top w:val="nil"/>
              <w:left w:val="nil"/>
              <w:bottom w:val="single" w:sz="4" w:space="0" w:color="auto"/>
              <w:right w:val="single" w:sz="4" w:space="0" w:color="auto"/>
            </w:tcBorders>
            <w:shd w:val="clear" w:color="auto" w:fill="auto"/>
            <w:noWrap/>
            <w:vAlign w:val="bottom"/>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23.139,45</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16.197,62</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4.859,28</w:t>
            </w:r>
          </w:p>
        </w:tc>
      </w:tr>
      <w:tr w:rsidR="008D07B2" w:rsidRPr="008D07B2" w:rsidTr="008D07B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7B2" w:rsidRPr="008D07B2" w:rsidRDefault="008D07B2" w:rsidP="00DE601E">
            <w:pPr>
              <w:jc w:val="left"/>
              <w:rPr>
                <w:rFonts w:ascii="Calibri" w:hAnsi="Calibri" w:cs="Arial"/>
                <w:color w:val="auto"/>
                <w:sz w:val="18"/>
                <w:szCs w:val="18"/>
              </w:rPr>
            </w:pPr>
            <w:r w:rsidRPr="008D07B2">
              <w:rPr>
                <w:rFonts w:ascii="Calibri" w:hAnsi="Calibri" w:cs="Arial"/>
                <w:color w:val="auto"/>
                <w:sz w:val="18"/>
                <w:szCs w:val="18"/>
              </w:rPr>
              <w:t>МКД Микрофин д.о.о. Бања Лука</w:t>
            </w:r>
          </w:p>
        </w:tc>
        <w:tc>
          <w:tcPr>
            <w:tcW w:w="1559"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center"/>
              <w:rPr>
                <w:rFonts w:ascii="Calibri" w:hAnsi="Calibri" w:cs="Arial"/>
                <w:color w:val="auto"/>
                <w:sz w:val="18"/>
                <w:szCs w:val="18"/>
              </w:rPr>
            </w:pPr>
            <w:r w:rsidRPr="008D07B2">
              <w:rPr>
                <w:rFonts w:ascii="Calibri" w:hAnsi="Calibri" w:cs="Arial"/>
                <w:color w:val="auto"/>
                <w:sz w:val="18"/>
                <w:szCs w:val="18"/>
              </w:rPr>
              <w:t>0</w:t>
            </w:r>
          </w:p>
        </w:tc>
        <w:tc>
          <w:tcPr>
            <w:tcW w:w="1418"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sz w:val="18"/>
                <w:szCs w:val="18"/>
              </w:rPr>
            </w:pPr>
            <w:r w:rsidRPr="008D07B2">
              <w:rPr>
                <w:rFonts w:ascii="Calibri" w:hAnsi="Calibri" w:cs="Arial"/>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8D07B2" w:rsidRPr="008D07B2" w:rsidRDefault="008D07B2" w:rsidP="00DE601E">
            <w:pPr>
              <w:jc w:val="right"/>
              <w:rPr>
                <w:rFonts w:ascii="Calibri" w:hAnsi="Calibri" w:cs="Arial"/>
                <w:color w:val="auto"/>
                <w:sz w:val="18"/>
                <w:szCs w:val="18"/>
              </w:rPr>
            </w:pPr>
            <w:r w:rsidRPr="008D07B2">
              <w:rPr>
                <w:rFonts w:ascii="Calibri" w:hAnsi="Calibri" w:cs="Arial"/>
                <w:color w:val="auto"/>
                <w:sz w:val="18"/>
                <w:szCs w:val="18"/>
              </w:rPr>
              <w:t>0,00</w:t>
            </w:r>
          </w:p>
        </w:tc>
      </w:tr>
      <w:tr w:rsidR="008D07B2" w:rsidRPr="008D07B2" w:rsidTr="008D07B2">
        <w:trPr>
          <w:trHeight w:val="405"/>
        </w:trPr>
        <w:tc>
          <w:tcPr>
            <w:tcW w:w="297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УКУПНО</w:t>
            </w:r>
          </w:p>
        </w:tc>
        <w:tc>
          <w:tcPr>
            <w:tcW w:w="1559" w:type="dxa"/>
            <w:tcBorders>
              <w:top w:val="nil"/>
              <w:left w:val="nil"/>
              <w:bottom w:val="single" w:sz="4" w:space="0" w:color="auto"/>
              <w:right w:val="single" w:sz="4" w:space="0" w:color="auto"/>
            </w:tcBorders>
            <w:shd w:val="clear" w:color="000000" w:fill="8DB4E2"/>
            <w:vAlign w:val="center"/>
            <w:hideMark/>
          </w:tcPr>
          <w:p w:rsidR="008D07B2" w:rsidRPr="008D07B2" w:rsidRDefault="008D07B2" w:rsidP="00DE601E">
            <w:pPr>
              <w:jc w:val="center"/>
              <w:rPr>
                <w:rFonts w:ascii="Calibri" w:hAnsi="Calibri" w:cs="Arial"/>
                <w:b/>
                <w:bCs/>
                <w:color w:val="auto"/>
                <w:sz w:val="18"/>
                <w:szCs w:val="18"/>
              </w:rPr>
            </w:pPr>
            <w:r w:rsidRPr="008D07B2">
              <w:rPr>
                <w:rFonts w:ascii="Calibri" w:hAnsi="Calibri" w:cs="Arial"/>
                <w:b/>
                <w:bCs/>
                <w:color w:val="auto"/>
                <w:sz w:val="18"/>
                <w:szCs w:val="18"/>
              </w:rPr>
              <w:t>159</w:t>
            </w:r>
          </w:p>
        </w:tc>
        <w:tc>
          <w:tcPr>
            <w:tcW w:w="1418" w:type="dxa"/>
            <w:tcBorders>
              <w:top w:val="nil"/>
              <w:left w:val="nil"/>
              <w:bottom w:val="single" w:sz="4" w:space="0" w:color="auto"/>
              <w:right w:val="single" w:sz="4" w:space="0" w:color="auto"/>
            </w:tcBorders>
            <w:shd w:val="clear" w:color="000000" w:fill="8DB4E2"/>
            <w:vAlign w:val="center"/>
            <w:hideMark/>
          </w:tcPr>
          <w:p w:rsidR="008D07B2" w:rsidRPr="008D07B2" w:rsidRDefault="008D07B2" w:rsidP="00DE601E">
            <w:pPr>
              <w:jc w:val="right"/>
              <w:rPr>
                <w:rFonts w:ascii="Calibri" w:hAnsi="Calibri" w:cs="Arial"/>
                <w:b/>
                <w:bCs/>
                <w:color w:val="auto"/>
                <w:sz w:val="18"/>
                <w:szCs w:val="18"/>
              </w:rPr>
            </w:pPr>
            <w:r w:rsidRPr="008D07B2">
              <w:rPr>
                <w:rFonts w:ascii="Calibri" w:hAnsi="Calibri" w:cs="Arial"/>
                <w:b/>
                <w:bCs/>
                <w:color w:val="auto"/>
                <w:sz w:val="18"/>
                <w:szCs w:val="18"/>
              </w:rPr>
              <w:t>10.977.651,75</w:t>
            </w:r>
          </w:p>
        </w:tc>
        <w:tc>
          <w:tcPr>
            <w:tcW w:w="1417" w:type="dxa"/>
            <w:tcBorders>
              <w:top w:val="nil"/>
              <w:left w:val="nil"/>
              <w:bottom w:val="single" w:sz="4" w:space="0" w:color="auto"/>
              <w:right w:val="single" w:sz="4" w:space="0" w:color="auto"/>
            </w:tcBorders>
            <w:shd w:val="clear" w:color="000000" w:fill="8DB4E2"/>
            <w:vAlign w:val="center"/>
            <w:hideMark/>
          </w:tcPr>
          <w:p w:rsidR="008D07B2" w:rsidRPr="008D07B2" w:rsidRDefault="008D07B2" w:rsidP="00DE601E">
            <w:pPr>
              <w:jc w:val="right"/>
              <w:rPr>
                <w:rFonts w:ascii="Calibri" w:hAnsi="Calibri" w:cs="Arial"/>
                <w:b/>
                <w:bCs/>
                <w:color w:val="auto"/>
                <w:sz w:val="18"/>
                <w:szCs w:val="18"/>
              </w:rPr>
            </w:pPr>
            <w:r w:rsidRPr="008D07B2">
              <w:rPr>
                <w:rFonts w:ascii="Calibri" w:hAnsi="Calibri" w:cs="Arial"/>
                <w:b/>
                <w:bCs/>
                <w:color w:val="auto"/>
                <w:sz w:val="18"/>
                <w:szCs w:val="18"/>
              </w:rPr>
              <w:t>7.684.356,23</w:t>
            </w:r>
          </w:p>
        </w:tc>
        <w:tc>
          <w:tcPr>
            <w:tcW w:w="1276" w:type="dxa"/>
            <w:tcBorders>
              <w:top w:val="nil"/>
              <w:left w:val="nil"/>
              <w:bottom w:val="single" w:sz="4" w:space="0" w:color="auto"/>
              <w:right w:val="single" w:sz="4" w:space="0" w:color="auto"/>
            </w:tcBorders>
            <w:shd w:val="clear" w:color="000000" w:fill="8DB4E2"/>
            <w:vAlign w:val="center"/>
            <w:hideMark/>
          </w:tcPr>
          <w:p w:rsidR="008D07B2" w:rsidRPr="008D07B2" w:rsidRDefault="008D07B2" w:rsidP="00DE601E">
            <w:pPr>
              <w:jc w:val="right"/>
              <w:rPr>
                <w:rFonts w:ascii="Calibri" w:hAnsi="Calibri" w:cs="Arial"/>
                <w:b/>
                <w:bCs/>
                <w:color w:val="auto"/>
                <w:sz w:val="18"/>
                <w:szCs w:val="18"/>
              </w:rPr>
            </w:pPr>
            <w:r w:rsidRPr="008D07B2">
              <w:rPr>
                <w:rFonts w:ascii="Calibri" w:hAnsi="Calibri" w:cs="Arial"/>
                <w:b/>
                <w:bCs/>
                <w:color w:val="auto"/>
                <w:sz w:val="18"/>
                <w:szCs w:val="18"/>
              </w:rPr>
              <w:t>2.305.306,87</w:t>
            </w:r>
          </w:p>
        </w:tc>
      </w:tr>
    </w:tbl>
    <w:p w:rsidR="008D07B2" w:rsidRPr="001C27A1" w:rsidRDefault="008D07B2" w:rsidP="00DE601E">
      <w:pPr>
        <w:rPr>
          <w:rFonts w:asciiTheme="minorHAnsi" w:eastAsiaTheme="minorHAnsi" w:hAnsiTheme="minorHAnsi"/>
          <w:color w:val="auto"/>
          <w:sz w:val="20"/>
          <w:szCs w:val="20"/>
          <w:lang w:val="sr-Cyrl-BA" w:eastAsia="en-US"/>
        </w:rPr>
      </w:pPr>
    </w:p>
    <w:p w:rsidR="00545FA4" w:rsidRPr="001C27A1" w:rsidRDefault="00545FA4" w:rsidP="00DE601E">
      <w:pPr>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BA" w:eastAsia="en-US"/>
        </w:rPr>
        <w:t xml:space="preserve">Одлуком о </w:t>
      </w:r>
      <w:r w:rsidRPr="001C27A1">
        <w:rPr>
          <w:rFonts w:asciiTheme="minorHAnsi" w:eastAsiaTheme="minorHAnsi" w:hAnsiTheme="minorHAnsi"/>
          <w:b/>
          <w:noProof/>
          <w:color w:val="auto"/>
          <w:sz w:val="20"/>
          <w:szCs w:val="20"/>
          <w:lang w:val="sr-Cyrl-BA"/>
        </w:rPr>
        <w:t xml:space="preserve"> </w:t>
      </w:r>
      <w:r w:rsidRPr="001C27A1">
        <w:rPr>
          <w:rFonts w:asciiTheme="minorHAnsi" w:eastAsiaTheme="minorHAnsi" w:hAnsiTheme="minorHAnsi"/>
          <w:color w:val="auto"/>
          <w:sz w:val="20"/>
          <w:szCs w:val="20"/>
          <w:lang w:val="sr-Cyrl-BA" w:eastAsia="en-US"/>
        </w:rPr>
        <w:t xml:space="preserve">Гарантном програму </w:t>
      </w:r>
      <w:r w:rsidRPr="001C27A1">
        <w:rPr>
          <w:rFonts w:asciiTheme="minorHAnsi" w:eastAsiaTheme="minorHAnsi" w:hAnsiTheme="minorHAnsi"/>
          <w:color w:val="auto"/>
          <w:sz w:val="20"/>
          <w:szCs w:val="20"/>
          <w:lang w:val="sr-Latn-BA" w:eastAsia="en-US"/>
        </w:rPr>
        <w:t xml:space="preserve"> COVID 19</w:t>
      </w:r>
      <w:r w:rsidRPr="001C27A1">
        <w:rPr>
          <w:rFonts w:asciiTheme="minorHAnsi" w:eastAsiaTheme="minorHAnsi" w:hAnsiTheme="minorHAnsi"/>
          <w:color w:val="auto"/>
          <w:sz w:val="20"/>
          <w:szCs w:val="20"/>
          <w:lang w:val="sr-Cyrl-BA" w:eastAsia="en-US"/>
        </w:rPr>
        <w:t xml:space="preserve"> је дефинисан максимални  дозвољени износ гаранције кредитног портфолија као производ стварног волумена портф</w:t>
      </w:r>
      <w:r w:rsidR="002D5D0D">
        <w:rPr>
          <w:rFonts w:asciiTheme="minorHAnsi" w:eastAsiaTheme="minorHAnsi" w:hAnsiTheme="minorHAnsi"/>
          <w:color w:val="auto"/>
          <w:sz w:val="20"/>
          <w:szCs w:val="20"/>
          <w:lang w:val="sr-Cyrl-BA" w:eastAsia="en-US"/>
        </w:rPr>
        <w:t>еља</w:t>
      </w:r>
      <w:r w:rsidRPr="001C27A1">
        <w:rPr>
          <w:rFonts w:asciiTheme="minorHAnsi" w:eastAsiaTheme="minorHAnsi" w:hAnsiTheme="minorHAnsi"/>
          <w:color w:val="auto"/>
          <w:sz w:val="20"/>
          <w:szCs w:val="20"/>
          <w:lang w:val="sr-Cyrl-BA" w:eastAsia="en-US"/>
        </w:rPr>
        <w:t xml:space="preserve"> кредита, стопе покрића (70%), стопе максималне гаранције (30%) и стопе пуштања кредита у течај.  Према стању кредита и припадајућем стању гаранција, максимални дозвољени износ гаранције, односно максимална потенцијална обавеза Владе Републике Српске на дан 31.12.202</w:t>
      </w:r>
      <w:r w:rsidR="008D07B2">
        <w:rPr>
          <w:rFonts w:asciiTheme="minorHAnsi" w:eastAsiaTheme="minorHAnsi" w:hAnsiTheme="minorHAnsi"/>
          <w:color w:val="auto"/>
          <w:sz w:val="20"/>
          <w:szCs w:val="20"/>
          <w:lang w:val="sr-Cyrl-BA" w:eastAsia="en-US"/>
        </w:rPr>
        <w:t>4</w:t>
      </w:r>
      <w:r w:rsidRPr="001C27A1">
        <w:rPr>
          <w:rFonts w:asciiTheme="minorHAnsi" w:eastAsiaTheme="minorHAnsi" w:hAnsiTheme="minorHAnsi"/>
          <w:color w:val="auto"/>
          <w:sz w:val="20"/>
          <w:szCs w:val="20"/>
          <w:lang w:val="sr-Cyrl-BA" w:eastAsia="en-US"/>
        </w:rPr>
        <w:t xml:space="preserve">. године </w:t>
      </w:r>
      <w:r w:rsidR="009C697E">
        <w:rPr>
          <w:rFonts w:asciiTheme="minorHAnsi" w:eastAsiaTheme="minorHAnsi" w:hAnsiTheme="minorHAnsi"/>
          <w:color w:val="auto"/>
          <w:sz w:val="20"/>
          <w:szCs w:val="20"/>
          <w:lang w:val="sr-Cyrl-BA" w:eastAsia="en-US"/>
        </w:rPr>
        <w:t xml:space="preserve">је </w:t>
      </w:r>
      <w:r w:rsidRPr="001C27A1">
        <w:rPr>
          <w:rFonts w:asciiTheme="minorHAnsi" w:eastAsiaTheme="minorHAnsi" w:hAnsiTheme="minorHAnsi"/>
          <w:color w:val="auto"/>
          <w:sz w:val="20"/>
          <w:szCs w:val="20"/>
          <w:lang w:val="sr-Cyrl-BA" w:eastAsia="en-US"/>
        </w:rPr>
        <w:t>износи</w:t>
      </w:r>
      <w:r w:rsidR="009C697E">
        <w:rPr>
          <w:rFonts w:asciiTheme="minorHAnsi" w:eastAsiaTheme="minorHAnsi" w:hAnsiTheme="minorHAnsi"/>
          <w:color w:val="auto"/>
          <w:sz w:val="20"/>
          <w:szCs w:val="20"/>
          <w:lang w:val="sr-Cyrl-BA" w:eastAsia="en-US"/>
        </w:rPr>
        <w:t>ла</w:t>
      </w:r>
      <w:r w:rsidRPr="001C27A1">
        <w:rPr>
          <w:rFonts w:asciiTheme="minorHAnsi" w:eastAsiaTheme="minorHAnsi" w:hAnsiTheme="minorHAnsi"/>
          <w:color w:val="auto"/>
          <w:sz w:val="20"/>
          <w:szCs w:val="20"/>
          <w:lang w:val="sr-Cyrl-BA" w:eastAsia="en-US"/>
        </w:rPr>
        <w:t xml:space="preserve"> </w:t>
      </w:r>
      <w:r w:rsidR="008D07B2">
        <w:rPr>
          <w:rFonts w:asciiTheme="minorHAnsi" w:eastAsiaTheme="minorHAnsi" w:hAnsiTheme="minorHAnsi"/>
          <w:color w:val="auto"/>
          <w:sz w:val="20"/>
          <w:szCs w:val="20"/>
          <w:lang w:val="sr-Cyrl-RS" w:eastAsia="en-US"/>
        </w:rPr>
        <w:t>2.305.306,87</w:t>
      </w:r>
      <w:r w:rsidRPr="001C27A1">
        <w:rPr>
          <w:rFonts w:asciiTheme="minorHAnsi" w:eastAsiaTheme="minorHAnsi" w:hAnsiTheme="minorHAnsi"/>
          <w:color w:val="auto"/>
          <w:sz w:val="20"/>
          <w:szCs w:val="20"/>
          <w:lang w:val="sr-Cyrl-BA" w:eastAsia="en-US"/>
        </w:rPr>
        <w:t xml:space="preserve"> КМ.</w:t>
      </w:r>
    </w:p>
    <w:p w:rsidR="001538EF" w:rsidRPr="001C27A1" w:rsidRDefault="001538EF" w:rsidP="00DE601E">
      <w:pPr>
        <w:jc w:val="right"/>
        <w:rPr>
          <w:rFonts w:asciiTheme="minorHAnsi" w:hAnsiTheme="minorHAnsi"/>
          <w:sz w:val="20"/>
          <w:szCs w:val="20"/>
          <w:lang w:val="sr-Cyrl-BA"/>
        </w:rPr>
      </w:pPr>
    </w:p>
    <w:p w:rsidR="001538EF" w:rsidRPr="001C27A1" w:rsidRDefault="001538EF" w:rsidP="001538EF">
      <w:pPr>
        <w:spacing w:line="276" w:lineRule="auto"/>
        <w:jc w:val="center"/>
        <w:rPr>
          <w:rFonts w:asciiTheme="minorHAnsi" w:eastAsiaTheme="minorHAnsi" w:hAnsiTheme="minorHAnsi"/>
          <w:b/>
          <w:color w:val="auto"/>
          <w:sz w:val="20"/>
          <w:szCs w:val="20"/>
          <w:lang w:val="sr-Cyrl-RS" w:eastAsia="en-US"/>
        </w:rPr>
      </w:pPr>
    </w:p>
    <w:p w:rsidR="001538EF" w:rsidRPr="001C27A1" w:rsidRDefault="001538EF" w:rsidP="001538EF">
      <w:pPr>
        <w:spacing w:after="200" w:line="276" w:lineRule="auto"/>
        <w:jc w:val="left"/>
        <w:rPr>
          <w:rFonts w:asciiTheme="minorHAnsi" w:hAnsiTheme="minorHAnsi"/>
          <w:b/>
          <w:sz w:val="20"/>
          <w:szCs w:val="20"/>
          <w:lang w:val="sr-Cyrl-CS" w:eastAsia="sr-Cyrl-CS"/>
        </w:rPr>
      </w:pPr>
      <w:r w:rsidRPr="001C27A1">
        <w:rPr>
          <w:rFonts w:asciiTheme="minorHAnsi" w:hAnsiTheme="minorHAnsi"/>
          <w:b/>
          <w:sz w:val="20"/>
          <w:szCs w:val="20"/>
          <w:lang w:val="sr-Cyrl-CS" w:eastAsia="sr-Cyrl-CS"/>
        </w:rPr>
        <w:br w:type="page"/>
      </w:r>
    </w:p>
    <w:p w:rsidR="001538EF" w:rsidRPr="005767EF" w:rsidRDefault="001538EF" w:rsidP="001538EF">
      <w:pPr>
        <w:rPr>
          <w:rFonts w:asciiTheme="minorHAnsi" w:hAnsiTheme="minorHAnsi"/>
          <w:b/>
          <w:sz w:val="20"/>
          <w:szCs w:val="20"/>
          <w:lang w:val="sr-Cyrl-CS" w:eastAsia="sr-Cyrl-CS"/>
        </w:rPr>
      </w:pPr>
    </w:p>
    <w:p w:rsidR="001538EF" w:rsidRPr="00EE16CE" w:rsidRDefault="00E84021" w:rsidP="00412718">
      <w:pPr>
        <w:pStyle w:val="Heading1"/>
        <w:numPr>
          <w:ilvl w:val="0"/>
          <w:numId w:val="0"/>
        </w:numPr>
        <w:ind w:left="431" w:hanging="431"/>
        <w:jc w:val="left"/>
        <w:rPr>
          <w:rFonts w:asciiTheme="minorHAnsi" w:hAnsiTheme="minorHAnsi"/>
          <w:lang w:val="sr-Cyrl-RS"/>
        </w:rPr>
      </w:pPr>
      <w:bookmarkStart w:id="11" w:name="_Toc135292174"/>
      <w:r>
        <w:rPr>
          <w:rFonts w:asciiTheme="minorHAnsi" w:hAnsiTheme="minorHAnsi"/>
          <w:lang w:val="sr-Cyrl-RS"/>
        </w:rPr>
        <w:t xml:space="preserve">3. </w:t>
      </w:r>
      <w:r w:rsidR="001538EF" w:rsidRPr="005767EF">
        <w:rPr>
          <w:rFonts w:asciiTheme="minorHAnsi" w:hAnsiTheme="minorHAnsi"/>
        </w:rPr>
        <w:t xml:space="preserve">АНАЛИЗА </w:t>
      </w:r>
      <w:r w:rsidR="001538EF" w:rsidRPr="005767EF">
        <w:rPr>
          <w:rFonts w:asciiTheme="minorHAnsi" w:hAnsiTheme="minorHAnsi"/>
          <w:lang w:val="sr-Cyrl-BA"/>
        </w:rPr>
        <w:t>ФИНАНСИЈСКОГ РЕЗУЛТАТА</w:t>
      </w:r>
      <w:r w:rsidR="001538EF" w:rsidRPr="005767EF">
        <w:rPr>
          <w:rFonts w:asciiTheme="minorHAnsi" w:hAnsiTheme="minorHAnsi"/>
        </w:rPr>
        <w:t xml:space="preserve"> </w:t>
      </w:r>
      <w:r w:rsidR="00EE16CE">
        <w:rPr>
          <w:rFonts w:asciiTheme="minorHAnsi" w:hAnsiTheme="minorHAnsi"/>
          <w:lang w:val="sr-Cyrl-RS"/>
        </w:rPr>
        <w:t>У</w:t>
      </w:r>
      <w:r w:rsidR="001538EF" w:rsidRPr="005767EF">
        <w:rPr>
          <w:rFonts w:asciiTheme="minorHAnsi" w:hAnsiTheme="minorHAnsi"/>
        </w:rPr>
        <w:t xml:space="preserve"> 202</w:t>
      </w:r>
      <w:r w:rsidR="00D71C9D">
        <w:rPr>
          <w:rFonts w:asciiTheme="minorHAnsi" w:hAnsiTheme="minorHAnsi"/>
          <w:lang w:val="bs-Latn-BA"/>
        </w:rPr>
        <w:t>4</w:t>
      </w:r>
      <w:r w:rsidR="001538EF" w:rsidRPr="005767EF">
        <w:rPr>
          <w:rFonts w:asciiTheme="minorHAnsi" w:hAnsiTheme="minorHAnsi"/>
        </w:rPr>
        <w:t>.</w:t>
      </w:r>
      <w:r w:rsidR="0070222F" w:rsidRPr="005767EF">
        <w:rPr>
          <w:rFonts w:asciiTheme="minorHAnsi" w:hAnsiTheme="minorHAnsi"/>
          <w:lang w:val="bs-Latn-BA"/>
        </w:rPr>
        <w:t xml:space="preserve"> </w:t>
      </w:r>
      <w:r w:rsidR="001538EF" w:rsidRPr="005767EF">
        <w:rPr>
          <w:rFonts w:asciiTheme="minorHAnsi" w:hAnsiTheme="minorHAnsi"/>
        </w:rPr>
        <w:t>ГОДИН</w:t>
      </w:r>
      <w:bookmarkEnd w:id="11"/>
      <w:r w:rsidR="00EE16CE">
        <w:rPr>
          <w:rFonts w:asciiTheme="minorHAnsi" w:hAnsiTheme="minorHAnsi"/>
          <w:lang w:val="sr-Cyrl-RS"/>
        </w:rPr>
        <w:t>И</w:t>
      </w:r>
    </w:p>
    <w:p w:rsidR="001538EF" w:rsidRPr="00EE16CE" w:rsidRDefault="00E84021" w:rsidP="00E84021">
      <w:pPr>
        <w:pStyle w:val="Heading2"/>
        <w:numPr>
          <w:ilvl w:val="0"/>
          <w:numId w:val="0"/>
        </w:numPr>
        <w:rPr>
          <w:rFonts w:asciiTheme="minorHAnsi" w:hAnsiTheme="minorHAnsi"/>
          <w:szCs w:val="20"/>
          <w:lang w:val="sr-Cyrl-RS"/>
        </w:rPr>
      </w:pPr>
      <w:bookmarkStart w:id="12" w:name="_Toc135292175"/>
      <w:r>
        <w:rPr>
          <w:rFonts w:asciiTheme="minorHAnsi" w:hAnsiTheme="minorHAnsi"/>
          <w:szCs w:val="20"/>
          <w:lang w:val="sr-Cyrl-RS"/>
        </w:rPr>
        <w:t xml:space="preserve">3.1. </w:t>
      </w:r>
      <w:r w:rsidR="001538EF" w:rsidRPr="005767EF">
        <w:rPr>
          <w:rFonts w:asciiTheme="minorHAnsi" w:hAnsiTheme="minorHAnsi"/>
          <w:szCs w:val="20"/>
        </w:rPr>
        <w:t xml:space="preserve">АНАЛИЗА ОСТВАРЕНИХ ПРИХОДА </w:t>
      </w:r>
      <w:r w:rsidR="00EE16CE">
        <w:rPr>
          <w:rFonts w:asciiTheme="minorHAnsi" w:hAnsiTheme="minorHAnsi"/>
          <w:szCs w:val="20"/>
          <w:lang w:val="sr-Cyrl-RS"/>
        </w:rPr>
        <w:t>У</w:t>
      </w:r>
      <w:r w:rsidR="001538EF" w:rsidRPr="005767EF">
        <w:rPr>
          <w:rFonts w:asciiTheme="minorHAnsi" w:hAnsiTheme="minorHAnsi"/>
          <w:szCs w:val="20"/>
        </w:rPr>
        <w:t xml:space="preserve"> 202</w:t>
      </w:r>
      <w:r w:rsidR="00D71C9D">
        <w:rPr>
          <w:rFonts w:asciiTheme="minorHAnsi" w:hAnsiTheme="minorHAnsi"/>
          <w:szCs w:val="20"/>
          <w:lang w:val="bs-Latn-BA"/>
        </w:rPr>
        <w:t>4</w:t>
      </w:r>
      <w:r w:rsidR="001538EF" w:rsidRPr="005767EF">
        <w:rPr>
          <w:rFonts w:asciiTheme="minorHAnsi" w:hAnsiTheme="minorHAnsi"/>
          <w:szCs w:val="20"/>
        </w:rPr>
        <w:t>.</w:t>
      </w:r>
      <w:r w:rsidR="0070222F" w:rsidRPr="005767EF">
        <w:rPr>
          <w:rFonts w:asciiTheme="minorHAnsi" w:hAnsiTheme="minorHAnsi"/>
          <w:szCs w:val="20"/>
          <w:lang w:val="bs-Latn-BA"/>
        </w:rPr>
        <w:t xml:space="preserve"> </w:t>
      </w:r>
      <w:r w:rsidR="001538EF" w:rsidRPr="005767EF">
        <w:rPr>
          <w:rFonts w:asciiTheme="minorHAnsi" w:hAnsiTheme="minorHAnsi"/>
          <w:szCs w:val="20"/>
        </w:rPr>
        <w:t>ГОДИН</w:t>
      </w:r>
      <w:bookmarkEnd w:id="12"/>
      <w:r w:rsidR="00EE16CE">
        <w:rPr>
          <w:rFonts w:asciiTheme="minorHAnsi" w:hAnsiTheme="minorHAnsi"/>
          <w:szCs w:val="20"/>
          <w:lang w:val="sr-Cyrl-RS"/>
        </w:rPr>
        <w:t>И</w:t>
      </w:r>
    </w:p>
    <w:p w:rsidR="001538EF" w:rsidRPr="005767EF" w:rsidRDefault="001538EF" w:rsidP="001538EF">
      <w:pPr>
        <w:rPr>
          <w:rFonts w:asciiTheme="minorHAnsi" w:hAnsiTheme="minorHAnsi"/>
          <w:color w:val="auto"/>
          <w:sz w:val="20"/>
          <w:szCs w:val="20"/>
          <w:lang w:val="sr-Cyrl-CS" w:eastAsia="sr-Cyrl-CS"/>
        </w:rPr>
      </w:pPr>
    </w:p>
    <w:p w:rsidR="001538EF" w:rsidRPr="005767EF" w:rsidRDefault="001538EF" w:rsidP="001538EF">
      <w:pPr>
        <w:ind w:left="708"/>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остварених прихода у 202</w:t>
      </w:r>
      <w:r w:rsidR="00D71C9D">
        <w:rPr>
          <w:rFonts w:asciiTheme="minorHAnsi" w:hAnsiTheme="minorHAnsi"/>
          <w:b/>
          <w:sz w:val="20"/>
          <w:szCs w:val="20"/>
          <w:lang w:eastAsia="sr-Cyrl-CS"/>
        </w:rPr>
        <w:t>4</w:t>
      </w:r>
      <w:r w:rsidRPr="005767EF">
        <w:rPr>
          <w:rFonts w:asciiTheme="minorHAnsi" w:hAnsiTheme="minorHAnsi"/>
          <w:b/>
          <w:sz w:val="20"/>
          <w:szCs w:val="20"/>
          <w:lang w:val="sr-Cyrl-CS" w:eastAsia="sr-Cyrl-CS"/>
        </w:rPr>
        <w:t>. години</w:t>
      </w:r>
    </w:p>
    <w:p w:rsidR="001538EF" w:rsidRPr="005767EF" w:rsidRDefault="001538EF" w:rsidP="001538EF">
      <w:pPr>
        <w:ind w:left="708"/>
        <w:jc w:val="center"/>
        <w:rPr>
          <w:rFonts w:asciiTheme="minorHAnsi" w:hAnsiTheme="minorHAnsi"/>
          <w:b/>
          <w:sz w:val="20"/>
          <w:szCs w:val="20"/>
          <w:lang w:val="sr-Cyrl-CS" w:eastAsia="sr-Cyrl-CS"/>
        </w:rPr>
      </w:pPr>
    </w:p>
    <w:p w:rsidR="002661D0" w:rsidRPr="0034546F" w:rsidRDefault="00DC72FE" w:rsidP="002661D0">
      <w:pPr>
        <w:ind w:left="6381" w:firstLine="709"/>
        <w:rPr>
          <w:rFonts w:asciiTheme="minorHAnsi" w:hAnsiTheme="minorHAnsi"/>
          <w:sz w:val="20"/>
          <w:szCs w:val="20"/>
          <w:lang w:val="sr-Cyrl-RS" w:eastAsia="sr-Cyrl-CS"/>
        </w:rPr>
      </w:pPr>
      <w:r>
        <w:rPr>
          <w:rFonts w:asciiTheme="minorHAnsi" w:hAnsiTheme="minorHAnsi"/>
          <w:b/>
          <w:sz w:val="20"/>
          <w:szCs w:val="20"/>
          <w:lang w:val="sr-Cyrl-BA" w:eastAsia="sr-Cyrl-CS"/>
        </w:rPr>
        <w:t xml:space="preserve">             </w:t>
      </w:r>
      <w:r>
        <w:rPr>
          <w:rFonts w:asciiTheme="minorHAnsi" w:hAnsiTheme="minorHAnsi"/>
          <w:b/>
          <w:sz w:val="20"/>
          <w:szCs w:val="20"/>
          <w:lang w:eastAsia="sr-Cyrl-CS"/>
        </w:rPr>
        <w:t xml:space="preserve"> </w:t>
      </w:r>
      <w:r>
        <w:rPr>
          <w:rFonts w:asciiTheme="minorHAnsi" w:hAnsiTheme="minorHAnsi"/>
          <w:b/>
          <w:sz w:val="20"/>
          <w:szCs w:val="20"/>
          <w:lang w:val="sr-Cyrl-BA" w:eastAsia="sr-Cyrl-CS"/>
        </w:rPr>
        <w:t xml:space="preserve">    Табела </w:t>
      </w:r>
      <w:r w:rsidR="0034546F">
        <w:rPr>
          <w:rFonts w:asciiTheme="minorHAnsi" w:hAnsiTheme="minorHAnsi"/>
          <w:b/>
          <w:sz w:val="20"/>
          <w:szCs w:val="20"/>
          <w:lang w:val="sr-Cyrl-RS" w:eastAsia="sr-Cyrl-CS"/>
        </w:rPr>
        <w:t>17</w:t>
      </w:r>
    </w:p>
    <w:tbl>
      <w:tblPr>
        <w:tblW w:w="8804" w:type="dxa"/>
        <w:tblInd w:w="93" w:type="dxa"/>
        <w:tblLook w:val="04A0" w:firstRow="1" w:lastRow="0" w:firstColumn="1" w:lastColumn="0" w:noHBand="0" w:noVBand="1"/>
      </w:tblPr>
      <w:tblGrid>
        <w:gridCol w:w="3843"/>
        <w:gridCol w:w="1287"/>
        <w:gridCol w:w="1406"/>
        <w:gridCol w:w="856"/>
        <w:gridCol w:w="1412"/>
      </w:tblGrid>
      <w:tr w:rsidR="002661D0" w:rsidRPr="002661D0" w:rsidTr="002661D0">
        <w:trPr>
          <w:trHeight w:val="315"/>
        </w:trPr>
        <w:tc>
          <w:tcPr>
            <w:tcW w:w="3843"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Врста прихода</w:t>
            </w:r>
          </w:p>
        </w:tc>
        <w:tc>
          <w:tcPr>
            <w:tcW w:w="1287"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Планирано у 2024. години</w:t>
            </w:r>
          </w:p>
        </w:tc>
        <w:tc>
          <w:tcPr>
            <w:tcW w:w="1406"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Остварено  у 2024. години</w:t>
            </w:r>
          </w:p>
        </w:tc>
        <w:tc>
          <w:tcPr>
            <w:tcW w:w="856"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Индекс</w:t>
            </w:r>
          </w:p>
        </w:tc>
        <w:tc>
          <w:tcPr>
            <w:tcW w:w="1412"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Структура прихода</w:t>
            </w:r>
          </w:p>
        </w:tc>
      </w:tr>
      <w:tr w:rsidR="002661D0" w:rsidRPr="002661D0" w:rsidTr="002661D0">
        <w:trPr>
          <w:trHeight w:val="315"/>
        </w:trPr>
        <w:tc>
          <w:tcPr>
            <w:tcW w:w="3843"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1287"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1406"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1412"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r>
      <w:tr w:rsidR="002661D0" w:rsidRPr="002661D0" w:rsidTr="002661D0">
        <w:trPr>
          <w:trHeight w:val="330"/>
        </w:trPr>
        <w:tc>
          <w:tcPr>
            <w:tcW w:w="3843"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1287"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1406"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c>
          <w:tcPr>
            <w:tcW w:w="1412" w:type="dxa"/>
            <w:vMerge/>
            <w:tcBorders>
              <w:top w:val="single" w:sz="8" w:space="0" w:color="auto"/>
              <w:left w:val="single" w:sz="8" w:space="0" w:color="auto"/>
              <w:bottom w:val="single" w:sz="8" w:space="0" w:color="000000"/>
              <w:right w:val="single" w:sz="8" w:space="0" w:color="auto"/>
            </w:tcBorders>
            <w:vAlign w:val="center"/>
            <w:hideMark/>
          </w:tcPr>
          <w:p w:rsidR="002661D0" w:rsidRPr="002661D0" w:rsidRDefault="002661D0" w:rsidP="002661D0">
            <w:pPr>
              <w:jc w:val="left"/>
              <w:rPr>
                <w:rFonts w:ascii="Calibri" w:hAnsi="Calibri"/>
                <w:b/>
                <w:bCs/>
                <w:sz w:val="20"/>
                <w:szCs w:val="20"/>
              </w:rPr>
            </w:pP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1</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2</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3</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4=3/2</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center"/>
              <w:rPr>
                <w:rFonts w:ascii="Calibri" w:hAnsi="Calibri"/>
                <w:b/>
                <w:bCs/>
                <w:sz w:val="20"/>
                <w:szCs w:val="20"/>
              </w:rPr>
            </w:pPr>
            <w:r w:rsidRPr="002661D0">
              <w:rPr>
                <w:rFonts w:ascii="Calibri" w:hAnsi="Calibri"/>
                <w:b/>
                <w:bCs/>
                <w:sz w:val="20"/>
                <w:szCs w:val="20"/>
              </w:rPr>
              <w:t>5</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left"/>
              <w:rPr>
                <w:rFonts w:ascii="Calibri" w:hAnsi="Calibri"/>
                <w:b/>
                <w:bCs/>
                <w:sz w:val="20"/>
                <w:szCs w:val="20"/>
              </w:rPr>
            </w:pPr>
            <w:r w:rsidRPr="002661D0">
              <w:rPr>
                <w:rFonts w:ascii="Calibri" w:hAnsi="Calibri"/>
                <w:b/>
                <w:bCs/>
                <w:sz w:val="20"/>
                <w:szCs w:val="20"/>
              </w:rPr>
              <w:t>Приходи од камата</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630.000,00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421.522,90</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66,91</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25,24%</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rPr>
                <w:rFonts w:ascii="Calibri" w:hAnsi="Calibri"/>
                <w:sz w:val="20"/>
                <w:szCs w:val="20"/>
              </w:rPr>
            </w:pPr>
            <w:r w:rsidRPr="002661D0">
              <w:rPr>
                <w:rFonts w:ascii="Calibri" w:hAnsi="Calibri"/>
                <w:sz w:val="20"/>
                <w:szCs w:val="20"/>
              </w:rPr>
              <w:t>Приход од затезних камата</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30.000,00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24.787,92</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82,63</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1,48%</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left"/>
              <w:rPr>
                <w:rFonts w:ascii="Calibri" w:hAnsi="Calibri"/>
                <w:color w:val="auto"/>
                <w:sz w:val="20"/>
                <w:szCs w:val="20"/>
              </w:rPr>
            </w:pPr>
            <w:r w:rsidRPr="002661D0">
              <w:rPr>
                <w:rFonts w:ascii="Calibri" w:hAnsi="Calibri"/>
                <w:color w:val="auto"/>
                <w:sz w:val="20"/>
                <w:szCs w:val="20"/>
              </w:rPr>
              <w:t>Приходи од камата по основу орочених депозита</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1.872,78</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0,00</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0,11%</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left"/>
              <w:rPr>
                <w:rFonts w:ascii="Calibri" w:hAnsi="Calibri"/>
                <w:color w:val="auto"/>
                <w:sz w:val="20"/>
                <w:szCs w:val="20"/>
              </w:rPr>
            </w:pPr>
            <w:r w:rsidRPr="002661D0">
              <w:rPr>
                <w:rFonts w:ascii="Calibri" w:hAnsi="Calibri"/>
                <w:color w:val="auto"/>
                <w:sz w:val="20"/>
                <w:szCs w:val="20"/>
              </w:rPr>
              <w:t>Приход од дужничких ХОВ</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600.000,00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394.862,20</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65,81</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23,64%</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rPr>
                <w:rFonts w:ascii="Calibri" w:hAnsi="Calibri"/>
                <w:b/>
                <w:bCs/>
                <w:sz w:val="20"/>
                <w:szCs w:val="20"/>
              </w:rPr>
            </w:pPr>
            <w:r w:rsidRPr="002661D0">
              <w:rPr>
                <w:rFonts w:ascii="Calibri" w:hAnsi="Calibri"/>
                <w:b/>
                <w:bCs/>
                <w:sz w:val="20"/>
                <w:szCs w:val="20"/>
              </w:rPr>
              <w:t>Приходи од премија и провизија</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1.280.000,00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603.340,21</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47,14</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36,12%</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rPr>
                <w:rFonts w:ascii="Calibri" w:hAnsi="Calibri"/>
                <w:sz w:val="20"/>
                <w:szCs w:val="20"/>
              </w:rPr>
            </w:pPr>
            <w:r w:rsidRPr="002661D0">
              <w:rPr>
                <w:rFonts w:ascii="Calibri" w:hAnsi="Calibri"/>
                <w:sz w:val="20"/>
                <w:szCs w:val="20"/>
              </w:rPr>
              <w:t>Приходи од премија за редовне гаранција</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545.000,00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300.990,33</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55,23</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18,02%</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left"/>
              <w:rPr>
                <w:rFonts w:ascii="Calibri" w:hAnsi="Calibri"/>
                <w:sz w:val="20"/>
                <w:szCs w:val="20"/>
              </w:rPr>
            </w:pPr>
            <w:r w:rsidRPr="002661D0">
              <w:rPr>
                <w:rFonts w:ascii="Calibri" w:hAnsi="Calibri"/>
                <w:sz w:val="20"/>
                <w:szCs w:val="20"/>
              </w:rPr>
              <w:t>Приходи од премија за кредитни портфељ</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450.000,00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246.698,86</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54,82</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14,77%</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left"/>
              <w:rPr>
                <w:rFonts w:ascii="Calibri" w:hAnsi="Calibri"/>
                <w:sz w:val="20"/>
                <w:szCs w:val="20"/>
              </w:rPr>
            </w:pPr>
            <w:r w:rsidRPr="002661D0">
              <w:rPr>
                <w:rFonts w:ascii="Calibri" w:hAnsi="Calibri"/>
                <w:sz w:val="20"/>
                <w:szCs w:val="20"/>
              </w:rPr>
              <w:t>Приходи од провизија за редовне гаранције</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195.000,00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39.146,08</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20,07</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2,34%</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jc w:val="left"/>
              <w:rPr>
                <w:rFonts w:ascii="Calibri" w:hAnsi="Calibri"/>
                <w:sz w:val="20"/>
                <w:szCs w:val="20"/>
              </w:rPr>
            </w:pPr>
            <w:r w:rsidRPr="002661D0">
              <w:rPr>
                <w:rFonts w:ascii="Calibri" w:hAnsi="Calibri"/>
                <w:sz w:val="20"/>
                <w:szCs w:val="20"/>
              </w:rPr>
              <w:t>Приходи од провизија за кредитни портфељ</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80.000,00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16.504,94</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20,63</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0,99%</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2661D0" w:rsidRPr="002661D0" w:rsidRDefault="002661D0" w:rsidP="002661D0">
            <w:pPr>
              <w:rPr>
                <w:rFonts w:ascii="Calibri" w:hAnsi="Calibri"/>
                <w:sz w:val="20"/>
                <w:szCs w:val="20"/>
              </w:rPr>
            </w:pPr>
            <w:r w:rsidRPr="002661D0">
              <w:rPr>
                <w:rFonts w:ascii="Calibri" w:hAnsi="Calibri"/>
                <w:sz w:val="20"/>
                <w:szCs w:val="20"/>
              </w:rPr>
              <w:t>Приходи од провизија за писма намјере</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10.000,00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0,00</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0,00</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sz w:val="20"/>
                <w:szCs w:val="20"/>
              </w:rPr>
            </w:pPr>
            <w:r w:rsidRPr="002661D0">
              <w:rPr>
                <w:rFonts w:ascii="Calibri" w:hAnsi="Calibri"/>
                <w:sz w:val="20"/>
                <w:szCs w:val="20"/>
              </w:rPr>
              <w:t>0,00%</w:t>
            </w:r>
          </w:p>
        </w:tc>
      </w:tr>
      <w:tr w:rsidR="002661D0" w:rsidRPr="002661D0" w:rsidTr="002661D0">
        <w:trPr>
          <w:trHeight w:val="525"/>
        </w:trPr>
        <w:tc>
          <w:tcPr>
            <w:tcW w:w="3843" w:type="dxa"/>
            <w:tcBorders>
              <w:top w:val="nil"/>
              <w:left w:val="single" w:sz="8" w:space="0" w:color="auto"/>
              <w:bottom w:val="single" w:sz="8" w:space="0" w:color="auto"/>
              <w:right w:val="single" w:sz="8" w:space="0" w:color="auto"/>
            </w:tcBorders>
            <w:shd w:val="clear" w:color="auto" w:fill="auto"/>
            <w:vAlign w:val="center"/>
            <w:hideMark/>
          </w:tcPr>
          <w:p w:rsidR="002661D0" w:rsidRPr="002661D0" w:rsidRDefault="002661D0" w:rsidP="002661D0">
            <w:pPr>
              <w:jc w:val="left"/>
              <w:rPr>
                <w:rFonts w:ascii="Calibri" w:hAnsi="Calibri"/>
                <w:b/>
                <w:bCs/>
                <w:color w:val="auto"/>
                <w:sz w:val="20"/>
                <w:szCs w:val="20"/>
              </w:rPr>
            </w:pPr>
            <w:r w:rsidRPr="002661D0">
              <w:rPr>
                <w:rFonts w:ascii="Calibri" w:hAnsi="Calibri"/>
                <w:b/>
                <w:bCs/>
                <w:color w:val="auto"/>
                <w:sz w:val="20"/>
                <w:szCs w:val="20"/>
              </w:rPr>
              <w:t>Приходи од укидања резервисања  по процјени и ванбилансној активи</w:t>
            </w:r>
          </w:p>
        </w:tc>
        <w:tc>
          <w:tcPr>
            <w:tcW w:w="1287"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350.000,00</w:t>
            </w:r>
          </w:p>
        </w:tc>
        <w:tc>
          <w:tcPr>
            <w:tcW w:w="1406"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620.395,36</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177,26</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37,14%</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auto" w:fill="auto"/>
            <w:vAlign w:val="center"/>
            <w:hideMark/>
          </w:tcPr>
          <w:p w:rsidR="002661D0" w:rsidRPr="002661D0" w:rsidRDefault="002661D0" w:rsidP="002661D0">
            <w:pPr>
              <w:rPr>
                <w:rFonts w:ascii="Calibri" w:hAnsi="Calibri"/>
                <w:b/>
                <w:bCs/>
                <w:sz w:val="20"/>
                <w:szCs w:val="20"/>
              </w:rPr>
            </w:pPr>
            <w:r w:rsidRPr="002661D0">
              <w:rPr>
                <w:rFonts w:ascii="Calibri" w:hAnsi="Calibri"/>
                <w:b/>
                <w:bCs/>
                <w:sz w:val="20"/>
                <w:szCs w:val="20"/>
              </w:rPr>
              <w:t>Остали приходи</w:t>
            </w:r>
          </w:p>
        </w:tc>
        <w:tc>
          <w:tcPr>
            <w:tcW w:w="1287"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200.000,00</w:t>
            </w:r>
          </w:p>
        </w:tc>
        <w:tc>
          <w:tcPr>
            <w:tcW w:w="1406" w:type="dxa"/>
            <w:tcBorders>
              <w:top w:val="nil"/>
              <w:left w:val="nil"/>
              <w:bottom w:val="single" w:sz="8" w:space="0" w:color="auto"/>
              <w:right w:val="single" w:sz="8" w:space="0" w:color="auto"/>
            </w:tcBorders>
            <w:shd w:val="clear" w:color="auto" w:fill="auto"/>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25.113,32</w:t>
            </w:r>
          </w:p>
        </w:tc>
        <w:tc>
          <w:tcPr>
            <w:tcW w:w="856" w:type="dxa"/>
            <w:tcBorders>
              <w:top w:val="nil"/>
              <w:left w:val="nil"/>
              <w:bottom w:val="single" w:sz="8" w:space="0" w:color="auto"/>
              <w:right w:val="single" w:sz="8" w:space="0" w:color="auto"/>
            </w:tcBorders>
            <w:shd w:val="clear" w:color="auto" w:fill="auto"/>
            <w:noWrap/>
            <w:vAlign w:val="center"/>
            <w:hideMark/>
          </w:tcPr>
          <w:p w:rsidR="002661D0" w:rsidRPr="00DF0E2C" w:rsidRDefault="002661D0" w:rsidP="002661D0">
            <w:pPr>
              <w:jc w:val="right"/>
              <w:rPr>
                <w:rFonts w:ascii="Calibri" w:hAnsi="Calibri"/>
                <w:bCs/>
                <w:sz w:val="20"/>
                <w:szCs w:val="20"/>
              </w:rPr>
            </w:pPr>
            <w:r w:rsidRPr="00DF0E2C">
              <w:rPr>
                <w:rFonts w:ascii="Calibri" w:hAnsi="Calibri"/>
                <w:bCs/>
                <w:sz w:val="20"/>
                <w:szCs w:val="20"/>
              </w:rPr>
              <w:t>12,56</w:t>
            </w:r>
          </w:p>
        </w:tc>
        <w:tc>
          <w:tcPr>
            <w:tcW w:w="1412" w:type="dxa"/>
            <w:tcBorders>
              <w:top w:val="nil"/>
              <w:left w:val="nil"/>
              <w:bottom w:val="single" w:sz="8" w:space="0" w:color="auto"/>
              <w:right w:val="single" w:sz="8" w:space="0" w:color="auto"/>
            </w:tcBorders>
            <w:shd w:val="clear" w:color="auto" w:fill="auto"/>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1,50%</w:t>
            </w:r>
          </w:p>
        </w:tc>
      </w:tr>
      <w:tr w:rsidR="002661D0" w:rsidRPr="002661D0" w:rsidTr="002661D0">
        <w:trPr>
          <w:trHeight w:val="330"/>
        </w:trPr>
        <w:tc>
          <w:tcPr>
            <w:tcW w:w="3843" w:type="dxa"/>
            <w:tcBorders>
              <w:top w:val="nil"/>
              <w:left w:val="single" w:sz="8" w:space="0" w:color="auto"/>
              <w:bottom w:val="single" w:sz="8" w:space="0" w:color="auto"/>
              <w:right w:val="single" w:sz="8" w:space="0" w:color="auto"/>
            </w:tcBorders>
            <w:shd w:val="clear" w:color="000000" w:fill="8DB4E2"/>
            <w:noWrap/>
            <w:vAlign w:val="center"/>
            <w:hideMark/>
          </w:tcPr>
          <w:p w:rsidR="002661D0" w:rsidRPr="002661D0" w:rsidRDefault="002661D0" w:rsidP="002661D0">
            <w:pPr>
              <w:jc w:val="left"/>
              <w:rPr>
                <w:rFonts w:ascii="Calibri" w:hAnsi="Calibri"/>
                <w:b/>
                <w:bCs/>
                <w:sz w:val="20"/>
                <w:szCs w:val="20"/>
              </w:rPr>
            </w:pPr>
            <w:r w:rsidRPr="002661D0">
              <w:rPr>
                <w:rFonts w:ascii="Calibri" w:hAnsi="Calibri"/>
                <w:b/>
                <w:bCs/>
                <w:sz w:val="20"/>
                <w:szCs w:val="20"/>
              </w:rPr>
              <w:t>УКУПНО</w:t>
            </w:r>
          </w:p>
        </w:tc>
        <w:tc>
          <w:tcPr>
            <w:tcW w:w="1287" w:type="dxa"/>
            <w:tcBorders>
              <w:top w:val="nil"/>
              <w:left w:val="nil"/>
              <w:bottom w:val="single" w:sz="8" w:space="0" w:color="auto"/>
              <w:right w:val="single" w:sz="8" w:space="0" w:color="auto"/>
            </w:tcBorders>
            <w:shd w:val="clear" w:color="000000" w:fill="8DB4E2"/>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2.460.000,00</w:t>
            </w:r>
          </w:p>
        </w:tc>
        <w:tc>
          <w:tcPr>
            <w:tcW w:w="1406" w:type="dxa"/>
            <w:tcBorders>
              <w:top w:val="nil"/>
              <w:left w:val="nil"/>
              <w:bottom w:val="single" w:sz="8" w:space="0" w:color="auto"/>
              <w:right w:val="single" w:sz="8" w:space="0" w:color="auto"/>
            </w:tcBorders>
            <w:shd w:val="clear" w:color="000000" w:fill="8DB4E2"/>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1.670.371,79</w:t>
            </w:r>
          </w:p>
        </w:tc>
        <w:tc>
          <w:tcPr>
            <w:tcW w:w="856" w:type="dxa"/>
            <w:tcBorders>
              <w:top w:val="nil"/>
              <w:left w:val="nil"/>
              <w:bottom w:val="single" w:sz="8" w:space="0" w:color="auto"/>
              <w:right w:val="single" w:sz="8" w:space="0" w:color="auto"/>
            </w:tcBorders>
            <w:shd w:val="clear" w:color="000000" w:fill="8DB4E2"/>
            <w:noWrap/>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67,90</w:t>
            </w:r>
          </w:p>
        </w:tc>
        <w:tc>
          <w:tcPr>
            <w:tcW w:w="1412" w:type="dxa"/>
            <w:tcBorders>
              <w:top w:val="nil"/>
              <w:left w:val="nil"/>
              <w:bottom w:val="single" w:sz="8" w:space="0" w:color="auto"/>
              <w:right w:val="single" w:sz="8" w:space="0" w:color="auto"/>
            </w:tcBorders>
            <w:shd w:val="clear" w:color="000000" w:fill="8DB4E2"/>
            <w:vAlign w:val="center"/>
            <w:hideMark/>
          </w:tcPr>
          <w:p w:rsidR="002661D0" w:rsidRPr="002661D0" w:rsidRDefault="002661D0" w:rsidP="002661D0">
            <w:pPr>
              <w:jc w:val="right"/>
              <w:rPr>
                <w:rFonts w:ascii="Calibri" w:hAnsi="Calibri"/>
                <w:b/>
                <w:bCs/>
                <w:sz w:val="20"/>
                <w:szCs w:val="20"/>
              </w:rPr>
            </w:pPr>
            <w:r w:rsidRPr="002661D0">
              <w:rPr>
                <w:rFonts w:ascii="Calibri" w:hAnsi="Calibri"/>
                <w:b/>
                <w:bCs/>
                <w:sz w:val="20"/>
                <w:szCs w:val="20"/>
              </w:rPr>
              <w:t>100,00%</w:t>
            </w:r>
          </w:p>
        </w:tc>
      </w:tr>
    </w:tbl>
    <w:p w:rsidR="007377DB" w:rsidRPr="005767EF" w:rsidRDefault="007377DB" w:rsidP="001538EF">
      <w:pPr>
        <w:rPr>
          <w:rFonts w:asciiTheme="minorHAnsi" w:hAnsiTheme="minorHAnsi"/>
          <w:sz w:val="20"/>
          <w:szCs w:val="20"/>
          <w:lang w:val="sr-Cyrl-CS" w:eastAsia="sr-Cyrl-CS"/>
        </w:rPr>
      </w:pPr>
    </w:p>
    <w:p w:rsidR="00A561E0" w:rsidRPr="005767EF" w:rsidRDefault="002661D0" w:rsidP="001538EF">
      <w:pPr>
        <w:rPr>
          <w:rFonts w:asciiTheme="minorHAnsi" w:hAnsiTheme="minorHAnsi"/>
          <w:sz w:val="20"/>
          <w:szCs w:val="20"/>
          <w:lang w:val="sr-Cyrl-BA" w:eastAsia="sr-Cyrl-CS"/>
        </w:rPr>
      </w:pPr>
      <w:r w:rsidRPr="005767EF">
        <w:rPr>
          <w:rFonts w:asciiTheme="minorHAnsi" w:hAnsiTheme="minorHAnsi"/>
          <w:sz w:val="20"/>
          <w:szCs w:val="20"/>
          <w:lang w:val="sr-Cyrl-BA" w:eastAsia="sr-Cyrl-CS"/>
        </w:rPr>
        <w:t xml:space="preserve">Гарантни фонд </w:t>
      </w:r>
      <w:r>
        <w:rPr>
          <w:rFonts w:asciiTheme="minorHAnsi" w:hAnsiTheme="minorHAnsi"/>
          <w:sz w:val="20"/>
          <w:szCs w:val="20"/>
          <w:lang w:val="sr-Cyrl-BA" w:eastAsia="sr-Cyrl-CS"/>
        </w:rPr>
        <w:t>је у</w:t>
      </w:r>
      <w:r w:rsidR="001538EF" w:rsidRPr="005767EF">
        <w:rPr>
          <w:rFonts w:asciiTheme="minorHAnsi" w:hAnsiTheme="minorHAnsi"/>
          <w:sz w:val="20"/>
          <w:szCs w:val="20"/>
          <w:lang w:val="sr-Cyrl-BA" w:eastAsia="sr-Cyrl-CS"/>
        </w:rPr>
        <w:t xml:space="preserve"> 202</w:t>
      </w:r>
      <w:r>
        <w:rPr>
          <w:rFonts w:asciiTheme="minorHAnsi" w:hAnsiTheme="minorHAnsi"/>
          <w:sz w:val="20"/>
          <w:szCs w:val="20"/>
          <w:lang w:val="sr-Cyrl-RS" w:eastAsia="sr-Cyrl-CS"/>
        </w:rPr>
        <w:t>4</w:t>
      </w:r>
      <w:r w:rsidR="001538EF" w:rsidRPr="005767EF">
        <w:rPr>
          <w:rFonts w:asciiTheme="minorHAnsi" w:hAnsiTheme="minorHAnsi"/>
          <w:sz w:val="20"/>
          <w:szCs w:val="20"/>
          <w:lang w:val="sr-Cyrl-BA" w:eastAsia="sr-Cyrl-CS"/>
        </w:rPr>
        <w:t>. години</w:t>
      </w:r>
      <w:r w:rsidR="00A561E0" w:rsidRPr="005767EF">
        <w:rPr>
          <w:rFonts w:asciiTheme="minorHAnsi" w:hAnsiTheme="minorHAnsi"/>
          <w:sz w:val="20"/>
          <w:szCs w:val="20"/>
          <w:lang w:val="sr-Cyrl-BA" w:eastAsia="sr-Cyrl-CS"/>
        </w:rPr>
        <w:t xml:space="preserve"> остварио укуп</w:t>
      </w:r>
      <w:r w:rsidR="0042190C" w:rsidRPr="005767EF">
        <w:rPr>
          <w:rFonts w:asciiTheme="minorHAnsi" w:hAnsiTheme="minorHAnsi"/>
          <w:sz w:val="20"/>
          <w:szCs w:val="20"/>
          <w:lang w:val="sr-Cyrl-BA" w:eastAsia="sr-Cyrl-CS"/>
        </w:rPr>
        <w:t>не</w:t>
      </w:r>
      <w:r w:rsidR="001538EF" w:rsidRPr="005767EF">
        <w:rPr>
          <w:rFonts w:asciiTheme="minorHAnsi" w:hAnsiTheme="minorHAnsi"/>
          <w:sz w:val="20"/>
          <w:szCs w:val="20"/>
          <w:lang w:val="sr-Cyrl-BA" w:eastAsia="sr-Cyrl-CS"/>
        </w:rPr>
        <w:t xml:space="preserve"> приход</w:t>
      </w:r>
      <w:r w:rsidR="0042190C" w:rsidRPr="005767EF">
        <w:rPr>
          <w:rFonts w:asciiTheme="minorHAnsi" w:hAnsiTheme="minorHAnsi"/>
          <w:sz w:val="20"/>
          <w:szCs w:val="20"/>
          <w:lang w:val="sr-Cyrl-BA" w:eastAsia="sr-Cyrl-CS"/>
        </w:rPr>
        <w:t>е</w:t>
      </w:r>
      <w:r w:rsidR="001538EF" w:rsidRPr="005767EF">
        <w:rPr>
          <w:rFonts w:asciiTheme="minorHAnsi" w:hAnsiTheme="minorHAnsi"/>
          <w:sz w:val="20"/>
          <w:szCs w:val="20"/>
          <w:lang w:val="sr-Cyrl-BA" w:eastAsia="sr-Cyrl-CS"/>
        </w:rPr>
        <w:t xml:space="preserve"> у износу од 1.</w:t>
      </w:r>
      <w:r>
        <w:rPr>
          <w:rFonts w:asciiTheme="minorHAnsi" w:hAnsiTheme="minorHAnsi"/>
          <w:sz w:val="20"/>
          <w:szCs w:val="20"/>
          <w:lang w:val="sr-Cyrl-RS" w:eastAsia="sr-Cyrl-CS"/>
        </w:rPr>
        <w:t>670.371,79</w:t>
      </w:r>
      <w:r w:rsidR="001538EF" w:rsidRPr="005767EF">
        <w:rPr>
          <w:rFonts w:asciiTheme="minorHAnsi" w:hAnsiTheme="minorHAnsi"/>
          <w:sz w:val="20"/>
          <w:szCs w:val="20"/>
          <w:lang w:val="sr-Cyrl-BA" w:eastAsia="sr-Cyrl-CS"/>
        </w:rPr>
        <w:t xml:space="preserve"> КМ</w:t>
      </w:r>
      <w:r w:rsidR="00D83063" w:rsidRPr="005767EF">
        <w:rPr>
          <w:rFonts w:asciiTheme="minorHAnsi" w:hAnsiTheme="minorHAnsi"/>
          <w:sz w:val="20"/>
          <w:szCs w:val="20"/>
          <w:lang w:val="sr-Cyrl-BA" w:eastAsia="sr-Cyrl-CS"/>
        </w:rPr>
        <w:t>.</w:t>
      </w:r>
      <w:r w:rsidR="001538EF" w:rsidRPr="005767EF">
        <w:rPr>
          <w:rFonts w:asciiTheme="minorHAnsi" w:hAnsiTheme="minorHAnsi"/>
          <w:sz w:val="20"/>
          <w:szCs w:val="20"/>
          <w:lang w:val="sr-Cyrl-BA" w:eastAsia="sr-Cyrl-CS"/>
        </w:rPr>
        <w:t xml:space="preserve"> </w:t>
      </w:r>
      <w:r w:rsidR="00A561E0" w:rsidRPr="005767EF">
        <w:rPr>
          <w:rFonts w:asciiTheme="minorHAnsi" w:hAnsiTheme="minorHAnsi"/>
          <w:sz w:val="20"/>
          <w:szCs w:val="20"/>
          <w:lang w:val="sr-Cyrl-BA" w:eastAsia="sr-Cyrl-CS"/>
        </w:rPr>
        <w:t>Укупне приходе чине</w:t>
      </w:r>
      <w:r>
        <w:rPr>
          <w:rFonts w:asciiTheme="minorHAnsi" w:hAnsiTheme="minorHAnsi"/>
          <w:sz w:val="20"/>
          <w:szCs w:val="20"/>
          <w:lang w:val="sr-Cyrl-BA" w:eastAsia="sr-Cyrl-CS"/>
        </w:rPr>
        <w:t>:</w:t>
      </w:r>
      <w:r w:rsidR="00A561E0" w:rsidRPr="005767EF">
        <w:rPr>
          <w:rFonts w:asciiTheme="minorHAnsi" w:hAnsiTheme="minorHAnsi"/>
          <w:sz w:val="20"/>
          <w:szCs w:val="20"/>
          <w:lang w:val="sr-Cyrl-BA" w:eastAsia="sr-Cyrl-CS"/>
        </w:rPr>
        <w:t xml:space="preserve"> </w:t>
      </w:r>
      <w:r w:rsidRPr="005767EF">
        <w:rPr>
          <w:rFonts w:asciiTheme="minorHAnsi" w:hAnsiTheme="minorHAnsi"/>
          <w:sz w:val="20"/>
          <w:szCs w:val="20"/>
          <w:lang w:val="sr-Cyrl-BA" w:eastAsia="sr-Cyrl-CS"/>
        </w:rPr>
        <w:t>приходи од камата по различитим основама</w:t>
      </w:r>
      <w:r>
        <w:rPr>
          <w:rFonts w:asciiTheme="minorHAnsi" w:hAnsiTheme="minorHAnsi"/>
          <w:sz w:val="20"/>
          <w:szCs w:val="20"/>
          <w:lang w:val="sr-Cyrl-BA" w:eastAsia="sr-Cyrl-CS"/>
        </w:rPr>
        <w:t>,</w:t>
      </w:r>
      <w:r w:rsidRPr="005767EF">
        <w:rPr>
          <w:rFonts w:asciiTheme="minorHAnsi" w:hAnsiTheme="minorHAnsi"/>
          <w:sz w:val="20"/>
          <w:szCs w:val="20"/>
          <w:lang w:val="sr-Cyrl-BA" w:eastAsia="sr-Cyrl-CS"/>
        </w:rPr>
        <w:t xml:space="preserve"> </w:t>
      </w:r>
      <w:r w:rsidR="00A561E0" w:rsidRPr="005767EF">
        <w:rPr>
          <w:rFonts w:asciiTheme="minorHAnsi" w:hAnsiTheme="minorHAnsi"/>
          <w:sz w:val="20"/>
          <w:szCs w:val="20"/>
          <w:lang w:val="sr-Cyrl-BA" w:eastAsia="sr-Cyrl-CS"/>
        </w:rPr>
        <w:t>приходи од премија и</w:t>
      </w:r>
      <w:r>
        <w:rPr>
          <w:rFonts w:asciiTheme="minorHAnsi" w:hAnsiTheme="minorHAnsi"/>
          <w:sz w:val="20"/>
          <w:szCs w:val="20"/>
          <w:lang w:val="sr-Cyrl-BA" w:eastAsia="sr-Cyrl-CS"/>
        </w:rPr>
        <w:t xml:space="preserve"> провизија на издате гаранције</w:t>
      </w:r>
      <w:r w:rsidR="00A561E0" w:rsidRPr="005767EF">
        <w:rPr>
          <w:rFonts w:asciiTheme="minorHAnsi" w:hAnsiTheme="minorHAnsi"/>
          <w:sz w:val="20"/>
          <w:szCs w:val="20"/>
          <w:lang w:val="sr-Cyrl-BA" w:eastAsia="sr-Cyrl-CS"/>
        </w:rPr>
        <w:t xml:space="preserve">, приходи од укидања резервисања и остали приходи. </w:t>
      </w:r>
    </w:p>
    <w:p w:rsidR="00A561E0" w:rsidRPr="005767EF" w:rsidRDefault="00A561E0" w:rsidP="001538EF">
      <w:pPr>
        <w:rPr>
          <w:rFonts w:asciiTheme="minorHAnsi" w:hAnsiTheme="minorHAnsi"/>
          <w:sz w:val="20"/>
          <w:szCs w:val="20"/>
          <w:lang w:val="sr-Cyrl-RS" w:eastAsia="sr-Cyrl-CS"/>
        </w:rPr>
      </w:pPr>
    </w:p>
    <w:p w:rsidR="00EE027C" w:rsidRPr="005767EF" w:rsidRDefault="0042190C" w:rsidP="001538EF">
      <w:pPr>
        <w:rPr>
          <w:rFonts w:asciiTheme="minorHAnsi" w:hAnsiTheme="minorHAnsi"/>
          <w:sz w:val="20"/>
          <w:szCs w:val="20"/>
          <w:lang w:val="sr-Cyrl-BA" w:eastAsia="sr-Cyrl-CS"/>
        </w:rPr>
      </w:pPr>
      <w:r w:rsidRPr="005767EF">
        <w:rPr>
          <w:rFonts w:asciiTheme="minorHAnsi" w:hAnsiTheme="minorHAnsi"/>
          <w:sz w:val="20"/>
          <w:szCs w:val="20"/>
          <w:lang w:val="sr-Cyrl-BA" w:eastAsia="sr-Cyrl-CS"/>
        </w:rPr>
        <w:t>Ако</w:t>
      </w:r>
      <w:r w:rsidR="001538EF" w:rsidRPr="005767EF">
        <w:rPr>
          <w:rFonts w:asciiTheme="minorHAnsi" w:hAnsiTheme="minorHAnsi"/>
          <w:sz w:val="20"/>
          <w:szCs w:val="20"/>
          <w:lang w:val="sr-Cyrl-BA" w:eastAsia="sr-Cyrl-CS"/>
        </w:rPr>
        <w:t xml:space="preserve"> п</w:t>
      </w:r>
      <w:r w:rsidRPr="005767EF">
        <w:rPr>
          <w:rFonts w:asciiTheme="minorHAnsi" w:hAnsiTheme="minorHAnsi"/>
          <w:sz w:val="20"/>
          <w:szCs w:val="20"/>
          <w:lang w:val="sr-Cyrl-BA" w:eastAsia="sr-Cyrl-CS"/>
        </w:rPr>
        <w:t>ос</w:t>
      </w:r>
      <w:r w:rsidR="001538EF" w:rsidRPr="005767EF">
        <w:rPr>
          <w:rFonts w:asciiTheme="minorHAnsi" w:hAnsiTheme="minorHAnsi"/>
          <w:sz w:val="20"/>
          <w:szCs w:val="20"/>
          <w:lang w:val="sr-Cyrl-BA" w:eastAsia="sr-Cyrl-CS"/>
        </w:rPr>
        <w:t>матра</w:t>
      </w:r>
      <w:r w:rsidRPr="005767EF">
        <w:rPr>
          <w:rFonts w:asciiTheme="minorHAnsi" w:hAnsiTheme="minorHAnsi"/>
          <w:sz w:val="20"/>
          <w:szCs w:val="20"/>
          <w:lang w:val="sr-Cyrl-BA" w:eastAsia="sr-Cyrl-CS"/>
        </w:rPr>
        <w:t>мо структуру</w:t>
      </w:r>
      <w:r w:rsidR="00A561E0" w:rsidRPr="005767EF">
        <w:rPr>
          <w:rFonts w:asciiTheme="minorHAnsi" w:hAnsiTheme="minorHAnsi"/>
          <w:sz w:val="20"/>
          <w:szCs w:val="20"/>
          <w:lang w:val="sr-Cyrl-BA" w:eastAsia="sr-Cyrl-CS"/>
        </w:rPr>
        <w:t xml:space="preserve">, </w:t>
      </w:r>
      <w:r w:rsidR="001538EF" w:rsidRPr="005767EF">
        <w:rPr>
          <w:rFonts w:asciiTheme="minorHAnsi" w:hAnsiTheme="minorHAnsi"/>
          <w:sz w:val="20"/>
          <w:szCs w:val="20"/>
          <w:lang w:val="sr-Cyrl-BA" w:eastAsia="sr-Cyrl-CS"/>
        </w:rPr>
        <w:t xml:space="preserve">највеће учешће </w:t>
      </w:r>
      <w:r w:rsidRPr="005767EF">
        <w:rPr>
          <w:rFonts w:asciiTheme="minorHAnsi" w:hAnsiTheme="minorHAnsi"/>
          <w:sz w:val="20"/>
          <w:szCs w:val="20"/>
          <w:lang w:val="sr-Cyrl-BA" w:eastAsia="sr-Cyrl-CS"/>
        </w:rPr>
        <w:t xml:space="preserve">имају </w:t>
      </w:r>
      <w:r w:rsidR="002661D0">
        <w:rPr>
          <w:rFonts w:asciiTheme="minorHAnsi" w:hAnsiTheme="minorHAnsi"/>
          <w:sz w:val="20"/>
          <w:szCs w:val="20"/>
          <w:lang w:val="sr-Cyrl-BA" w:eastAsia="sr-Cyrl-CS"/>
        </w:rPr>
        <w:t>п</w:t>
      </w:r>
      <w:r w:rsidR="002661D0" w:rsidRPr="005767EF">
        <w:rPr>
          <w:rFonts w:asciiTheme="minorHAnsi" w:hAnsiTheme="minorHAnsi"/>
          <w:sz w:val="20"/>
          <w:szCs w:val="20"/>
          <w:lang w:val="sr-Cyrl-BA" w:eastAsia="sr-Cyrl-CS"/>
        </w:rPr>
        <w:t>риходи од укидања</w:t>
      </w:r>
      <w:r w:rsidR="002661D0" w:rsidRPr="002661D0">
        <w:rPr>
          <w:rFonts w:asciiTheme="minorHAnsi" w:hAnsiTheme="minorHAnsi"/>
          <w:sz w:val="20"/>
          <w:szCs w:val="20"/>
          <w:lang w:val="sr-Cyrl-BA" w:eastAsia="sr-Cyrl-CS"/>
        </w:rPr>
        <w:t xml:space="preserve"> </w:t>
      </w:r>
      <w:r w:rsidR="002661D0" w:rsidRPr="005767EF">
        <w:rPr>
          <w:rFonts w:asciiTheme="minorHAnsi" w:hAnsiTheme="minorHAnsi"/>
          <w:sz w:val="20"/>
          <w:szCs w:val="20"/>
          <w:lang w:val="sr-Cyrl-BA" w:eastAsia="sr-Cyrl-CS"/>
        </w:rPr>
        <w:t>резервисања</w:t>
      </w:r>
      <w:r w:rsidR="002661D0">
        <w:rPr>
          <w:rFonts w:asciiTheme="minorHAnsi" w:hAnsiTheme="minorHAnsi"/>
          <w:sz w:val="20"/>
          <w:szCs w:val="20"/>
          <w:lang w:val="sr-Cyrl-BA" w:eastAsia="sr-Cyrl-CS"/>
        </w:rPr>
        <w:t xml:space="preserve"> који чине</w:t>
      </w:r>
      <w:r w:rsidR="001538EF" w:rsidRPr="005767EF">
        <w:rPr>
          <w:rFonts w:asciiTheme="minorHAnsi" w:hAnsiTheme="minorHAnsi"/>
          <w:sz w:val="20"/>
          <w:szCs w:val="20"/>
          <w:lang w:val="sr-Cyrl-BA" w:eastAsia="sr-Cyrl-CS"/>
        </w:rPr>
        <w:t xml:space="preserve"> </w:t>
      </w:r>
      <w:r w:rsidR="002661D0">
        <w:rPr>
          <w:rFonts w:asciiTheme="minorHAnsi" w:hAnsiTheme="minorHAnsi"/>
          <w:sz w:val="20"/>
          <w:szCs w:val="20"/>
          <w:lang w:val="sr-Cyrl-BA" w:eastAsia="sr-Cyrl-CS"/>
        </w:rPr>
        <w:t>37,14</w:t>
      </w:r>
      <w:r w:rsidR="001538EF" w:rsidRPr="005767EF">
        <w:rPr>
          <w:rFonts w:asciiTheme="minorHAnsi" w:hAnsiTheme="minorHAnsi"/>
          <w:sz w:val="20"/>
          <w:szCs w:val="20"/>
          <w:lang w:val="sr-Cyrl-BA" w:eastAsia="sr-Cyrl-CS"/>
        </w:rPr>
        <w:t xml:space="preserve">% укупних прихода. </w:t>
      </w:r>
      <w:r w:rsidR="002661D0">
        <w:rPr>
          <w:rFonts w:asciiTheme="minorHAnsi" w:hAnsiTheme="minorHAnsi"/>
          <w:sz w:val="20"/>
          <w:szCs w:val="20"/>
          <w:lang w:val="sr-Cyrl-BA" w:eastAsia="sr-Cyrl-CS"/>
        </w:rPr>
        <w:t>П</w:t>
      </w:r>
      <w:r w:rsidR="002661D0" w:rsidRPr="005767EF">
        <w:rPr>
          <w:rFonts w:asciiTheme="minorHAnsi" w:hAnsiTheme="minorHAnsi"/>
          <w:sz w:val="20"/>
          <w:szCs w:val="20"/>
          <w:lang w:val="sr-Cyrl-BA" w:eastAsia="sr-Cyrl-CS"/>
        </w:rPr>
        <w:t>риходи од премија и провизија за издане гаранције</w:t>
      </w:r>
      <w:r w:rsidR="002661D0">
        <w:rPr>
          <w:rFonts w:asciiTheme="minorHAnsi" w:hAnsiTheme="minorHAnsi"/>
          <w:sz w:val="20"/>
          <w:szCs w:val="20"/>
          <w:lang w:val="sr-Cyrl-BA" w:eastAsia="sr-Cyrl-CS"/>
        </w:rPr>
        <w:t xml:space="preserve"> су на другом мјесту </w:t>
      </w:r>
      <w:r w:rsidR="002661D0" w:rsidRPr="005767EF">
        <w:rPr>
          <w:rFonts w:asciiTheme="minorHAnsi" w:hAnsiTheme="minorHAnsi"/>
          <w:sz w:val="20"/>
          <w:szCs w:val="20"/>
          <w:lang w:val="sr-Cyrl-BA" w:eastAsia="sr-Cyrl-CS"/>
        </w:rPr>
        <w:t xml:space="preserve">са учешћем од </w:t>
      </w:r>
      <w:r w:rsidR="002661D0">
        <w:rPr>
          <w:rFonts w:asciiTheme="minorHAnsi" w:hAnsiTheme="minorHAnsi"/>
          <w:sz w:val="20"/>
          <w:szCs w:val="20"/>
          <w:lang w:val="sr-Cyrl-BA" w:eastAsia="sr-Cyrl-CS"/>
        </w:rPr>
        <w:t>36,12%.</w:t>
      </w:r>
      <w:r w:rsidR="002661D0" w:rsidRPr="005767EF">
        <w:rPr>
          <w:rFonts w:asciiTheme="minorHAnsi" w:hAnsiTheme="minorHAnsi"/>
          <w:sz w:val="20"/>
          <w:szCs w:val="20"/>
          <w:lang w:val="sr-Cyrl-BA" w:eastAsia="sr-Cyrl-CS"/>
        </w:rPr>
        <w:t xml:space="preserve"> </w:t>
      </w:r>
      <w:r w:rsidR="00B81C29">
        <w:rPr>
          <w:rFonts w:asciiTheme="minorHAnsi" w:hAnsiTheme="minorHAnsi"/>
          <w:sz w:val="20"/>
          <w:szCs w:val="20"/>
          <w:lang w:val="sr-Cyrl-BA" w:eastAsia="sr-Cyrl-CS"/>
        </w:rPr>
        <w:t xml:space="preserve">Приходи од камата се налазе на </w:t>
      </w:r>
      <w:r w:rsidR="002661D0">
        <w:rPr>
          <w:rFonts w:asciiTheme="minorHAnsi" w:hAnsiTheme="minorHAnsi"/>
          <w:sz w:val="20"/>
          <w:szCs w:val="20"/>
          <w:lang w:val="sr-Cyrl-BA" w:eastAsia="sr-Cyrl-CS"/>
        </w:rPr>
        <w:t>трећем</w:t>
      </w:r>
      <w:r w:rsidR="00B81C29">
        <w:rPr>
          <w:rFonts w:asciiTheme="minorHAnsi" w:hAnsiTheme="minorHAnsi"/>
          <w:sz w:val="20"/>
          <w:szCs w:val="20"/>
          <w:lang w:val="sr-Cyrl-BA" w:eastAsia="sr-Cyrl-CS"/>
        </w:rPr>
        <w:t xml:space="preserve"> мјесту са учешћем од </w:t>
      </w:r>
      <w:r w:rsidR="002661D0">
        <w:rPr>
          <w:rFonts w:asciiTheme="minorHAnsi" w:hAnsiTheme="minorHAnsi"/>
          <w:sz w:val="20"/>
          <w:szCs w:val="20"/>
          <w:lang w:val="sr-Cyrl-BA" w:eastAsia="sr-Cyrl-CS"/>
        </w:rPr>
        <w:t>25,24%. У оквиру ове групе</w:t>
      </w:r>
      <w:r w:rsidR="00B81C29">
        <w:rPr>
          <w:rFonts w:asciiTheme="minorHAnsi" w:hAnsiTheme="minorHAnsi"/>
          <w:sz w:val="20"/>
          <w:szCs w:val="20"/>
          <w:lang w:val="sr-Cyrl-BA" w:eastAsia="sr-Cyrl-CS"/>
        </w:rPr>
        <w:t xml:space="preserve">, </w:t>
      </w:r>
      <w:r w:rsidR="001538EF" w:rsidRPr="005767EF">
        <w:rPr>
          <w:rFonts w:asciiTheme="minorHAnsi" w:hAnsiTheme="minorHAnsi"/>
          <w:sz w:val="20"/>
          <w:szCs w:val="20"/>
          <w:lang w:val="sr-Cyrl-BA" w:eastAsia="sr-Cyrl-CS"/>
        </w:rPr>
        <w:t xml:space="preserve">доминантно је учешће </w:t>
      </w:r>
      <w:r w:rsidRPr="005767EF">
        <w:rPr>
          <w:rFonts w:asciiTheme="minorHAnsi" w:hAnsiTheme="minorHAnsi"/>
          <w:sz w:val="20"/>
          <w:szCs w:val="20"/>
          <w:lang w:val="sr-Cyrl-BA" w:eastAsia="sr-Cyrl-CS"/>
        </w:rPr>
        <w:t xml:space="preserve">прихода </w:t>
      </w:r>
      <w:r w:rsidR="00BD3482">
        <w:rPr>
          <w:rFonts w:asciiTheme="minorHAnsi" w:hAnsiTheme="minorHAnsi"/>
          <w:sz w:val="20"/>
          <w:szCs w:val="20"/>
          <w:lang w:val="sr-Cyrl-BA" w:eastAsia="sr-Cyrl-CS"/>
        </w:rPr>
        <w:t xml:space="preserve">по </w:t>
      </w:r>
      <w:r w:rsidR="001538EF" w:rsidRPr="005767EF">
        <w:rPr>
          <w:rFonts w:asciiTheme="minorHAnsi" w:hAnsiTheme="minorHAnsi"/>
          <w:sz w:val="20"/>
          <w:szCs w:val="20"/>
          <w:lang w:val="sr-Cyrl-BA" w:eastAsia="sr-Cyrl-CS"/>
        </w:rPr>
        <w:t>основу улагања у</w:t>
      </w:r>
      <w:r w:rsidR="002661D0">
        <w:rPr>
          <w:rFonts w:asciiTheme="minorHAnsi" w:hAnsiTheme="minorHAnsi"/>
          <w:sz w:val="20"/>
          <w:szCs w:val="20"/>
          <w:lang w:val="sr-Cyrl-BA" w:eastAsia="sr-Cyrl-CS"/>
        </w:rPr>
        <w:t xml:space="preserve"> дужничке</w:t>
      </w:r>
      <w:r w:rsidR="001538EF" w:rsidRPr="005767EF">
        <w:rPr>
          <w:rFonts w:asciiTheme="minorHAnsi" w:hAnsiTheme="minorHAnsi"/>
          <w:sz w:val="20"/>
          <w:szCs w:val="20"/>
          <w:lang w:val="sr-Cyrl-BA" w:eastAsia="sr-Cyrl-CS"/>
        </w:rPr>
        <w:t xml:space="preserve"> харт</w:t>
      </w:r>
      <w:r w:rsidR="00A561E0" w:rsidRPr="005767EF">
        <w:rPr>
          <w:rFonts w:asciiTheme="minorHAnsi" w:hAnsiTheme="minorHAnsi"/>
          <w:sz w:val="20"/>
          <w:szCs w:val="20"/>
          <w:lang w:val="sr-Cyrl-BA" w:eastAsia="sr-Cyrl-CS"/>
        </w:rPr>
        <w:t>ије од вриједност</w:t>
      </w:r>
      <w:r w:rsidR="00EE027C" w:rsidRPr="005767EF">
        <w:rPr>
          <w:rFonts w:asciiTheme="minorHAnsi" w:hAnsiTheme="minorHAnsi"/>
          <w:sz w:val="20"/>
          <w:szCs w:val="20"/>
          <w:lang w:val="sr-Cyrl-BA" w:eastAsia="sr-Cyrl-CS"/>
        </w:rPr>
        <w:t>и</w:t>
      </w:r>
      <w:r w:rsidR="002661D0">
        <w:rPr>
          <w:rFonts w:asciiTheme="minorHAnsi" w:hAnsiTheme="minorHAnsi"/>
          <w:sz w:val="20"/>
          <w:szCs w:val="20"/>
          <w:lang w:val="sr-Cyrl-BA" w:eastAsia="sr-Cyrl-CS"/>
        </w:rPr>
        <w:t xml:space="preserve"> (23,64%). Најмање учешће има група </w:t>
      </w:r>
      <w:r w:rsidRPr="005767EF">
        <w:rPr>
          <w:rFonts w:asciiTheme="minorHAnsi" w:hAnsiTheme="minorHAnsi"/>
          <w:sz w:val="20"/>
          <w:szCs w:val="20"/>
          <w:lang w:val="sr-Cyrl-BA" w:eastAsia="sr-Cyrl-CS"/>
        </w:rPr>
        <w:t>осталих прихода</w:t>
      </w:r>
      <w:r w:rsidR="002661D0">
        <w:rPr>
          <w:rFonts w:asciiTheme="minorHAnsi" w:hAnsiTheme="minorHAnsi"/>
          <w:sz w:val="20"/>
          <w:szCs w:val="20"/>
          <w:lang w:val="sr-Cyrl-BA" w:eastAsia="sr-Cyrl-CS"/>
        </w:rPr>
        <w:t xml:space="preserve"> који чине свега 1,50</w:t>
      </w:r>
      <w:r w:rsidRPr="005767EF">
        <w:rPr>
          <w:rFonts w:asciiTheme="minorHAnsi" w:hAnsiTheme="minorHAnsi"/>
          <w:sz w:val="20"/>
          <w:szCs w:val="20"/>
          <w:lang w:val="sr-Cyrl-BA" w:eastAsia="sr-Cyrl-CS"/>
        </w:rPr>
        <w:t>%</w:t>
      </w:r>
      <w:r w:rsidR="002661D0">
        <w:rPr>
          <w:rFonts w:asciiTheme="minorHAnsi" w:hAnsiTheme="minorHAnsi"/>
          <w:sz w:val="20"/>
          <w:szCs w:val="20"/>
          <w:lang w:val="sr-Cyrl-BA" w:eastAsia="sr-Cyrl-CS"/>
        </w:rPr>
        <w:t xml:space="preserve"> укупно остварених прихода у 2024. години</w:t>
      </w:r>
      <w:r w:rsidRPr="005767EF">
        <w:rPr>
          <w:rFonts w:asciiTheme="minorHAnsi" w:hAnsiTheme="minorHAnsi"/>
          <w:sz w:val="20"/>
          <w:szCs w:val="20"/>
          <w:lang w:val="sr-Cyrl-BA" w:eastAsia="sr-Cyrl-CS"/>
        </w:rPr>
        <w:t xml:space="preserve">. </w:t>
      </w:r>
    </w:p>
    <w:p w:rsidR="001538EF" w:rsidRDefault="001538EF" w:rsidP="001538EF">
      <w:pPr>
        <w:rPr>
          <w:rFonts w:asciiTheme="minorHAnsi" w:hAnsiTheme="minorHAnsi"/>
          <w:sz w:val="20"/>
          <w:szCs w:val="20"/>
          <w:lang w:val="sr-Cyrl-BA" w:eastAsia="sr-Cyrl-CS"/>
        </w:rPr>
      </w:pPr>
    </w:p>
    <w:p w:rsidR="00BD3482" w:rsidRDefault="00BD3482" w:rsidP="001538EF">
      <w:pPr>
        <w:rPr>
          <w:rFonts w:asciiTheme="minorHAnsi" w:hAnsiTheme="minorHAnsi"/>
          <w:sz w:val="20"/>
          <w:szCs w:val="20"/>
          <w:lang w:val="sr-Cyrl-BA" w:eastAsia="sr-Cyrl-CS"/>
        </w:rPr>
      </w:pPr>
      <w:r>
        <w:rPr>
          <w:rFonts w:asciiTheme="minorHAnsi" w:hAnsiTheme="minorHAnsi"/>
          <w:b/>
          <w:sz w:val="20"/>
          <w:szCs w:val="20"/>
          <w:lang w:val="sr-Cyrl-BA" w:eastAsia="sr-Cyrl-CS"/>
        </w:rPr>
        <w:t>Прихо</w:t>
      </w:r>
      <w:r w:rsidRPr="00BD3482">
        <w:rPr>
          <w:rFonts w:asciiTheme="minorHAnsi" w:hAnsiTheme="minorHAnsi"/>
          <w:b/>
          <w:sz w:val="20"/>
          <w:szCs w:val="20"/>
          <w:lang w:val="sr-Cyrl-BA" w:eastAsia="sr-Cyrl-CS"/>
        </w:rPr>
        <w:t xml:space="preserve">ди од камата </w:t>
      </w:r>
      <w:r>
        <w:rPr>
          <w:rFonts w:asciiTheme="minorHAnsi" w:hAnsiTheme="minorHAnsi"/>
          <w:sz w:val="20"/>
          <w:szCs w:val="20"/>
          <w:lang w:val="sr-Cyrl-BA" w:eastAsia="sr-Cyrl-CS"/>
        </w:rPr>
        <w:t>су</w:t>
      </w:r>
      <w:r w:rsidR="002661D0">
        <w:rPr>
          <w:rFonts w:asciiTheme="minorHAnsi" w:hAnsiTheme="minorHAnsi"/>
          <w:sz w:val="20"/>
          <w:szCs w:val="20"/>
          <w:lang w:val="sr-Cyrl-BA" w:eastAsia="sr-Cyrl-CS"/>
        </w:rPr>
        <w:t xml:space="preserve"> током 2024. године</w:t>
      </w:r>
      <w:r>
        <w:rPr>
          <w:rFonts w:asciiTheme="minorHAnsi" w:hAnsiTheme="minorHAnsi"/>
          <w:sz w:val="20"/>
          <w:szCs w:val="20"/>
          <w:lang w:val="sr-Cyrl-BA" w:eastAsia="sr-Cyrl-CS"/>
        </w:rPr>
        <w:t xml:space="preserve"> остварени</w:t>
      </w:r>
      <w:r w:rsidRPr="00BD3482">
        <w:rPr>
          <w:rFonts w:asciiTheme="minorHAnsi" w:hAnsiTheme="minorHAnsi"/>
          <w:sz w:val="20"/>
          <w:szCs w:val="20"/>
          <w:lang w:val="sr-Cyrl-BA" w:eastAsia="sr-Cyrl-CS"/>
        </w:rPr>
        <w:t xml:space="preserve"> у укупном износу од</w:t>
      </w:r>
      <w:r>
        <w:rPr>
          <w:rFonts w:asciiTheme="minorHAnsi" w:hAnsiTheme="minorHAnsi"/>
          <w:sz w:val="20"/>
          <w:szCs w:val="20"/>
          <w:lang w:val="sr-Cyrl-BA" w:eastAsia="sr-Cyrl-CS"/>
        </w:rPr>
        <w:t xml:space="preserve"> </w:t>
      </w:r>
      <w:r w:rsidR="002661D0" w:rsidRPr="002661D0">
        <w:rPr>
          <w:rFonts w:asciiTheme="minorHAnsi" w:hAnsiTheme="minorHAnsi"/>
          <w:sz w:val="20"/>
          <w:szCs w:val="20"/>
          <w:lang w:val="sr-Cyrl-BA" w:eastAsia="sr-Cyrl-CS"/>
        </w:rPr>
        <w:t>421.522,90</w:t>
      </w:r>
      <w:r w:rsidR="002661D0">
        <w:rPr>
          <w:rFonts w:asciiTheme="minorHAnsi" w:hAnsiTheme="minorHAnsi"/>
          <w:sz w:val="20"/>
          <w:szCs w:val="20"/>
          <w:lang w:val="sr-Cyrl-BA" w:eastAsia="sr-Cyrl-CS"/>
        </w:rPr>
        <w:t xml:space="preserve"> </w:t>
      </w:r>
      <w:r>
        <w:rPr>
          <w:rFonts w:asciiTheme="minorHAnsi" w:hAnsiTheme="minorHAnsi"/>
          <w:sz w:val="20"/>
          <w:szCs w:val="20"/>
          <w:lang w:val="sr-Cyrl-BA" w:eastAsia="sr-Cyrl-CS"/>
        </w:rPr>
        <w:t xml:space="preserve">КМ. </w:t>
      </w:r>
      <w:r w:rsidR="00A73D0A">
        <w:rPr>
          <w:rFonts w:asciiTheme="minorHAnsi" w:hAnsiTheme="minorHAnsi"/>
          <w:sz w:val="20"/>
          <w:szCs w:val="20"/>
          <w:lang w:val="sr-Cyrl-BA" w:eastAsia="sr-Cyrl-CS"/>
        </w:rPr>
        <w:t xml:space="preserve">Више од 90% вриједности у оквиру ове групе прихода </w:t>
      </w:r>
      <w:r>
        <w:rPr>
          <w:rFonts w:asciiTheme="minorHAnsi" w:hAnsiTheme="minorHAnsi"/>
          <w:sz w:val="20"/>
          <w:szCs w:val="20"/>
          <w:lang w:val="sr-Cyrl-BA" w:eastAsia="sr-Cyrl-CS"/>
        </w:rPr>
        <w:t xml:space="preserve">се односи на приходе </w:t>
      </w:r>
      <w:r w:rsidR="008134F3">
        <w:rPr>
          <w:rFonts w:asciiTheme="minorHAnsi" w:hAnsiTheme="minorHAnsi"/>
          <w:sz w:val="20"/>
          <w:szCs w:val="20"/>
          <w:lang w:val="sr-Cyrl-BA" w:eastAsia="sr-Cyrl-CS"/>
        </w:rPr>
        <w:t xml:space="preserve">остварене </w:t>
      </w:r>
      <w:r w:rsidR="00C76A89">
        <w:rPr>
          <w:rFonts w:asciiTheme="minorHAnsi" w:hAnsiTheme="minorHAnsi"/>
          <w:sz w:val="20"/>
          <w:szCs w:val="20"/>
          <w:lang w:val="sr-Cyrl-BA" w:eastAsia="sr-Cyrl-CS"/>
        </w:rPr>
        <w:t>по основу</w:t>
      </w:r>
      <w:r>
        <w:rPr>
          <w:rFonts w:asciiTheme="minorHAnsi" w:hAnsiTheme="minorHAnsi"/>
          <w:sz w:val="20"/>
          <w:szCs w:val="20"/>
          <w:lang w:val="sr-Cyrl-BA" w:eastAsia="sr-Cyrl-CS"/>
        </w:rPr>
        <w:t xml:space="preserve"> улагања у дужничке хартије од вриједности</w:t>
      </w:r>
      <w:r w:rsidR="00A92294">
        <w:rPr>
          <w:rFonts w:asciiTheme="minorHAnsi" w:hAnsiTheme="minorHAnsi"/>
          <w:sz w:val="20"/>
          <w:szCs w:val="20"/>
          <w:lang w:val="sr-Cyrl-BA" w:eastAsia="sr-Cyrl-CS"/>
        </w:rPr>
        <w:t xml:space="preserve"> који износе </w:t>
      </w:r>
      <w:r w:rsidR="00A92294" w:rsidRPr="002661D0">
        <w:rPr>
          <w:rFonts w:asciiTheme="minorHAnsi" w:hAnsiTheme="minorHAnsi"/>
          <w:sz w:val="20"/>
          <w:szCs w:val="20"/>
          <w:lang w:val="sr-Cyrl-BA" w:eastAsia="sr-Cyrl-CS"/>
        </w:rPr>
        <w:t>394.862,20</w:t>
      </w:r>
      <w:r w:rsidR="00A92294">
        <w:rPr>
          <w:rFonts w:asciiTheme="minorHAnsi" w:hAnsiTheme="minorHAnsi"/>
          <w:sz w:val="20"/>
          <w:szCs w:val="20"/>
          <w:lang w:val="sr-Cyrl-BA" w:eastAsia="sr-Cyrl-CS"/>
        </w:rPr>
        <w:t xml:space="preserve"> КМ</w:t>
      </w:r>
      <w:r w:rsidR="00C76A89">
        <w:rPr>
          <w:rFonts w:asciiTheme="minorHAnsi" w:hAnsiTheme="minorHAnsi"/>
          <w:sz w:val="20"/>
          <w:szCs w:val="20"/>
          <w:lang w:val="sr-Cyrl-BA" w:eastAsia="sr-Cyrl-CS"/>
        </w:rPr>
        <w:t>,</w:t>
      </w:r>
      <w:r>
        <w:rPr>
          <w:rFonts w:asciiTheme="minorHAnsi" w:hAnsiTheme="minorHAnsi"/>
          <w:sz w:val="20"/>
          <w:szCs w:val="20"/>
          <w:lang w:val="sr-Cyrl-BA" w:eastAsia="sr-Cyrl-CS"/>
        </w:rPr>
        <w:t xml:space="preserve"> </w:t>
      </w:r>
      <w:r w:rsidR="00C76A89">
        <w:rPr>
          <w:rFonts w:asciiTheme="minorHAnsi" w:hAnsiTheme="minorHAnsi"/>
          <w:sz w:val="20"/>
          <w:szCs w:val="20"/>
          <w:lang w:val="sr-Cyrl-BA" w:eastAsia="sr-Cyrl-CS"/>
        </w:rPr>
        <w:t xml:space="preserve">док се </w:t>
      </w:r>
      <w:r w:rsidR="00A73D0A">
        <w:rPr>
          <w:rFonts w:asciiTheme="minorHAnsi" w:hAnsiTheme="minorHAnsi"/>
          <w:sz w:val="20"/>
          <w:szCs w:val="20"/>
          <w:lang w:val="sr-Cyrl-BA" w:eastAsia="sr-Cyrl-CS"/>
        </w:rPr>
        <w:t>преостали</w:t>
      </w:r>
      <w:r w:rsidR="00C76A89">
        <w:rPr>
          <w:rFonts w:asciiTheme="minorHAnsi" w:hAnsiTheme="minorHAnsi"/>
          <w:sz w:val="20"/>
          <w:szCs w:val="20"/>
          <w:lang w:val="sr-Cyrl-BA" w:eastAsia="sr-Cyrl-CS"/>
        </w:rPr>
        <w:t xml:space="preserve"> износ односи на приходе од затезних камата и приходе по основу орочених депозита.</w:t>
      </w:r>
    </w:p>
    <w:p w:rsidR="00C76A89" w:rsidRPr="00BD3482" w:rsidRDefault="00C76A89" w:rsidP="001538EF">
      <w:pPr>
        <w:rPr>
          <w:rFonts w:asciiTheme="minorHAnsi" w:hAnsiTheme="minorHAnsi"/>
          <w:b/>
          <w:sz w:val="20"/>
          <w:szCs w:val="20"/>
          <w:lang w:val="sr-Cyrl-BA" w:eastAsia="sr-Cyrl-CS"/>
        </w:rPr>
      </w:pPr>
    </w:p>
    <w:p w:rsidR="002F1FCA" w:rsidRDefault="001538EF" w:rsidP="001538EF">
      <w:pPr>
        <w:rPr>
          <w:rFonts w:asciiTheme="minorHAnsi" w:hAnsiTheme="minorHAnsi"/>
          <w:sz w:val="20"/>
          <w:szCs w:val="20"/>
          <w:lang w:val="sr-Cyrl-BA" w:eastAsia="sr-Cyrl-CS"/>
        </w:rPr>
      </w:pPr>
      <w:r w:rsidRPr="007377DB">
        <w:rPr>
          <w:rFonts w:asciiTheme="minorHAnsi" w:hAnsiTheme="minorHAnsi"/>
          <w:b/>
          <w:sz w:val="20"/>
          <w:szCs w:val="20"/>
          <w:lang w:val="sr-Cyrl-BA" w:eastAsia="sr-Cyrl-CS"/>
        </w:rPr>
        <w:t>Приходи од премија и провизија</w:t>
      </w:r>
      <w:r w:rsidRPr="005767EF">
        <w:rPr>
          <w:rFonts w:asciiTheme="minorHAnsi" w:hAnsiTheme="minorHAnsi"/>
          <w:sz w:val="20"/>
          <w:szCs w:val="20"/>
          <w:lang w:val="sr-Cyrl-BA" w:eastAsia="sr-Cyrl-CS"/>
        </w:rPr>
        <w:t xml:space="preserve"> </w:t>
      </w:r>
      <w:r w:rsidR="00F731FD" w:rsidRPr="005767EF">
        <w:rPr>
          <w:rFonts w:asciiTheme="minorHAnsi" w:hAnsiTheme="minorHAnsi"/>
          <w:sz w:val="20"/>
          <w:szCs w:val="20"/>
          <w:lang w:val="sr-Cyrl-BA" w:eastAsia="sr-Cyrl-CS"/>
        </w:rPr>
        <w:t>обухватај</w:t>
      </w:r>
      <w:r w:rsidR="00A73D0A">
        <w:rPr>
          <w:rFonts w:asciiTheme="minorHAnsi" w:hAnsiTheme="minorHAnsi"/>
          <w:sz w:val="20"/>
          <w:szCs w:val="20"/>
          <w:lang w:val="sr-Cyrl-BA" w:eastAsia="sr-Cyrl-CS"/>
        </w:rPr>
        <w:t>у приходе од премије и провизије</w:t>
      </w:r>
      <w:r w:rsidR="00F731FD" w:rsidRPr="005767EF">
        <w:rPr>
          <w:rFonts w:asciiTheme="minorHAnsi" w:hAnsiTheme="minorHAnsi"/>
          <w:sz w:val="20"/>
          <w:szCs w:val="20"/>
          <w:lang w:val="sr-Cyrl-BA" w:eastAsia="sr-Cyrl-CS"/>
        </w:rPr>
        <w:t xml:space="preserve"> од појединачних гаранција, те приходе од премија и провизија </w:t>
      </w:r>
      <w:r w:rsidR="00A73D0A">
        <w:rPr>
          <w:rFonts w:asciiTheme="minorHAnsi" w:hAnsiTheme="minorHAnsi"/>
          <w:sz w:val="20"/>
          <w:szCs w:val="20"/>
          <w:lang w:val="sr-Cyrl-BA" w:eastAsia="sr-Cyrl-CS"/>
        </w:rPr>
        <w:t>од</w:t>
      </w:r>
      <w:r w:rsidR="00F731FD" w:rsidRPr="005767EF">
        <w:rPr>
          <w:rFonts w:asciiTheme="minorHAnsi" w:hAnsiTheme="minorHAnsi"/>
          <w:sz w:val="20"/>
          <w:szCs w:val="20"/>
          <w:lang w:val="sr-Cyrl-BA" w:eastAsia="sr-Cyrl-CS"/>
        </w:rPr>
        <w:t xml:space="preserve"> гаранција изданих на нивоу кредитног портфеља</w:t>
      </w:r>
      <w:r w:rsidR="00C76A89">
        <w:rPr>
          <w:rFonts w:asciiTheme="minorHAnsi" w:hAnsiTheme="minorHAnsi"/>
          <w:sz w:val="20"/>
          <w:szCs w:val="20"/>
          <w:lang w:val="sr-Cyrl-BA" w:eastAsia="sr-Cyrl-CS"/>
        </w:rPr>
        <w:t>. Током 202</w:t>
      </w:r>
      <w:r w:rsidR="00A73D0A">
        <w:rPr>
          <w:rFonts w:asciiTheme="minorHAnsi" w:hAnsiTheme="minorHAnsi"/>
          <w:sz w:val="20"/>
          <w:szCs w:val="20"/>
          <w:lang w:val="sr-Cyrl-BA" w:eastAsia="sr-Cyrl-CS"/>
        </w:rPr>
        <w:t>4.</w:t>
      </w:r>
      <w:r w:rsidR="00C76A89">
        <w:rPr>
          <w:rFonts w:asciiTheme="minorHAnsi" w:hAnsiTheme="minorHAnsi"/>
          <w:sz w:val="20"/>
          <w:szCs w:val="20"/>
          <w:lang w:val="sr-Cyrl-BA" w:eastAsia="sr-Cyrl-CS"/>
        </w:rPr>
        <w:t xml:space="preserve"> године ови приходи су остварени у износу од </w:t>
      </w:r>
      <w:r w:rsidR="00A73D0A" w:rsidRPr="00A73D0A">
        <w:rPr>
          <w:rFonts w:asciiTheme="minorHAnsi" w:hAnsiTheme="minorHAnsi"/>
          <w:sz w:val="20"/>
          <w:szCs w:val="20"/>
          <w:lang w:val="sr-Cyrl-BA" w:eastAsia="sr-Cyrl-CS"/>
        </w:rPr>
        <w:t>603.340,21</w:t>
      </w:r>
      <w:r w:rsidR="00A73D0A">
        <w:rPr>
          <w:rFonts w:asciiTheme="minorHAnsi" w:hAnsiTheme="minorHAnsi"/>
          <w:sz w:val="20"/>
          <w:szCs w:val="20"/>
          <w:lang w:val="sr-Cyrl-BA" w:eastAsia="sr-Cyrl-CS"/>
        </w:rPr>
        <w:t xml:space="preserve"> </w:t>
      </w:r>
      <w:r w:rsidR="00C76A89" w:rsidRPr="00C76A89">
        <w:rPr>
          <w:rFonts w:asciiTheme="minorHAnsi" w:hAnsiTheme="minorHAnsi"/>
          <w:sz w:val="20"/>
          <w:szCs w:val="20"/>
          <w:lang w:val="sr-Cyrl-BA" w:eastAsia="sr-Cyrl-CS"/>
        </w:rPr>
        <w:t>КМ</w:t>
      </w:r>
      <w:r w:rsidR="00C76A89">
        <w:rPr>
          <w:rFonts w:asciiTheme="minorHAnsi" w:hAnsiTheme="minorHAnsi"/>
          <w:sz w:val="20"/>
          <w:szCs w:val="20"/>
          <w:lang w:val="sr-Cyrl-BA" w:eastAsia="sr-Cyrl-CS"/>
        </w:rPr>
        <w:t xml:space="preserve">, што је </w:t>
      </w:r>
      <w:r w:rsidR="00A73D0A">
        <w:rPr>
          <w:rFonts w:asciiTheme="minorHAnsi" w:hAnsiTheme="minorHAnsi"/>
          <w:sz w:val="20"/>
          <w:szCs w:val="20"/>
          <w:lang w:val="sr-Cyrl-BA" w:eastAsia="sr-Cyrl-CS"/>
        </w:rPr>
        <w:t>нешто више од трећине укупних прихода у посматран</w:t>
      </w:r>
      <w:r w:rsidR="00C76A89">
        <w:rPr>
          <w:rFonts w:asciiTheme="minorHAnsi" w:hAnsiTheme="minorHAnsi"/>
          <w:sz w:val="20"/>
          <w:szCs w:val="20"/>
          <w:lang w:val="sr-Cyrl-BA" w:eastAsia="sr-Cyrl-CS"/>
        </w:rPr>
        <w:t>ој години.</w:t>
      </w:r>
      <w:r w:rsidR="00A73D0A">
        <w:rPr>
          <w:rFonts w:asciiTheme="minorHAnsi" w:hAnsiTheme="minorHAnsi"/>
          <w:sz w:val="20"/>
          <w:szCs w:val="20"/>
          <w:lang w:val="sr-Cyrl-BA" w:eastAsia="sr-Cyrl-CS"/>
        </w:rPr>
        <w:t xml:space="preserve"> </w:t>
      </w:r>
    </w:p>
    <w:p w:rsidR="00F731FD" w:rsidRPr="005767EF" w:rsidRDefault="00A73D0A" w:rsidP="001538EF">
      <w:pPr>
        <w:rPr>
          <w:rFonts w:asciiTheme="minorHAnsi" w:hAnsiTheme="minorHAnsi"/>
          <w:sz w:val="20"/>
          <w:szCs w:val="20"/>
          <w:lang w:val="sr-Cyrl-BA" w:eastAsia="sr-Cyrl-CS"/>
        </w:rPr>
      </w:pPr>
      <w:r>
        <w:rPr>
          <w:rFonts w:asciiTheme="minorHAnsi" w:hAnsiTheme="minorHAnsi"/>
          <w:sz w:val="20"/>
          <w:szCs w:val="20"/>
          <w:lang w:val="sr-Cyrl-BA" w:eastAsia="sr-Cyrl-CS"/>
        </w:rPr>
        <w:t>Већински дио ове групе прихода се односи на приходе од премије по основу појединачних и портфолио гаранција. Премија за редовне гаранције је остварена у износу од 300.990,33 КМ, док је премија од издавања портфолио гаранција остварена у износу од 246.698,86 КМ.</w:t>
      </w:r>
    </w:p>
    <w:p w:rsidR="00F731FD" w:rsidRPr="005767EF" w:rsidRDefault="00F731FD" w:rsidP="001538EF">
      <w:pPr>
        <w:rPr>
          <w:rFonts w:asciiTheme="minorHAnsi" w:hAnsiTheme="minorHAnsi"/>
          <w:sz w:val="20"/>
          <w:szCs w:val="20"/>
          <w:lang w:val="sr-Cyrl-BA" w:eastAsia="sr-Cyrl-CS"/>
        </w:rPr>
      </w:pPr>
    </w:p>
    <w:p w:rsidR="001538EF" w:rsidRDefault="001538EF" w:rsidP="001538EF">
      <w:pPr>
        <w:rPr>
          <w:rFonts w:asciiTheme="minorHAnsi" w:hAnsiTheme="minorHAnsi"/>
          <w:sz w:val="20"/>
          <w:szCs w:val="20"/>
          <w:lang w:val="sr-Cyrl-BA" w:eastAsia="sr-Cyrl-CS"/>
        </w:rPr>
      </w:pPr>
      <w:r w:rsidRPr="007377DB">
        <w:rPr>
          <w:rFonts w:asciiTheme="minorHAnsi" w:hAnsiTheme="minorHAnsi"/>
          <w:b/>
          <w:sz w:val="20"/>
          <w:szCs w:val="20"/>
          <w:lang w:val="sr-Cyrl-BA" w:eastAsia="sr-Cyrl-CS"/>
        </w:rPr>
        <w:t>Приходе од укидања резервисања</w:t>
      </w:r>
      <w:r w:rsidR="00F119E9">
        <w:rPr>
          <w:rFonts w:asciiTheme="minorHAnsi" w:hAnsiTheme="minorHAnsi"/>
          <w:b/>
          <w:sz w:val="20"/>
          <w:szCs w:val="20"/>
          <w:lang w:val="sr-Cyrl-BA" w:eastAsia="sr-Cyrl-CS"/>
        </w:rPr>
        <w:t xml:space="preserve"> по процјени и ванбилансној активи</w:t>
      </w:r>
      <w:r w:rsidR="005D2D24">
        <w:rPr>
          <w:rFonts w:asciiTheme="minorHAnsi" w:hAnsiTheme="minorHAnsi"/>
          <w:sz w:val="20"/>
          <w:szCs w:val="20"/>
          <w:lang w:val="sr-Cyrl-BA" w:eastAsia="sr-Cyrl-CS"/>
        </w:rPr>
        <w:t xml:space="preserve"> </w:t>
      </w:r>
      <w:r w:rsidR="002C09A5">
        <w:rPr>
          <w:rFonts w:asciiTheme="minorHAnsi" w:hAnsiTheme="minorHAnsi"/>
          <w:sz w:val="20"/>
          <w:szCs w:val="20"/>
          <w:lang w:val="sr-Cyrl-BA" w:eastAsia="sr-Cyrl-CS"/>
        </w:rPr>
        <w:t xml:space="preserve">чине </w:t>
      </w:r>
      <w:r w:rsidR="005D2D24" w:rsidRPr="005D2D24">
        <w:rPr>
          <w:rFonts w:asciiTheme="minorHAnsi" w:hAnsiTheme="minorHAnsi"/>
          <w:sz w:val="20"/>
          <w:szCs w:val="20"/>
          <w:lang w:val="sr-Cyrl-BA" w:eastAsia="sr-Cyrl-CS"/>
        </w:rPr>
        <w:t xml:space="preserve">приходи од укидања резервисања за ванбилансне евиденције у укупном износу од </w:t>
      </w:r>
      <w:r w:rsidR="00F119E9">
        <w:rPr>
          <w:rFonts w:asciiTheme="minorHAnsi" w:hAnsiTheme="minorHAnsi"/>
          <w:sz w:val="20"/>
          <w:szCs w:val="20"/>
          <w:lang w:val="sr-Cyrl-BA" w:eastAsia="sr-Cyrl-CS"/>
        </w:rPr>
        <w:t>572.086,49 КМ, од чега је од укидања ре</w:t>
      </w:r>
      <w:r w:rsidR="00DF0E2C">
        <w:rPr>
          <w:rFonts w:asciiTheme="minorHAnsi" w:hAnsiTheme="minorHAnsi"/>
          <w:sz w:val="20"/>
          <w:szCs w:val="20"/>
          <w:lang w:val="sr-Cyrl-BA" w:eastAsia="sr-Cyrl-CS"/>
        </w:rPr>
        <w:t>з</w:t>
      </w:r>
      <w:r w:rsidR="00F119E9">
        <w:rPr>
          <w:rFonts w:asciiTheme="minorHAnsi" w:hAnsiTheme="minorHAnsi"/>
          <w:sz w:val="20"/>
          <w:szCs w:val="20"/>
          <w:lang w:val="sr-Cyrl-BA" w:eastAsia="sr-Cyrl-CS"/>
        </w:rPr>
        <w:t xml:space="preserve">ервисања на </w:t>
      </w:r>
      <w:r w:rsidR="005D2D24" w:rsidRPr="005D2D24">
        <w:rPr>
          <w:rFonts w:asciiTheme="minorHAnsi" w:hAnsiTheme="minorHAnsi"/>
          <w:sz w:val="20"/>
          <w:szCs w:val="20"/>
          <w:lang w:val="sr-Cyrl-BA" w:eastAsia="sr-Cyrl-CS"/>
        </w:rPr>
        <w:t>редовне гаранције</w:t>
      </w:r>
      <w:r w:rsidR="005D2D24" w:rsidRPr="005D2D24">
        <w:rPr>
          <w:rFonts w:ascii="Arial" w:hAnsi="Arial" w:cs="Arial"/>
          <w:sz w:val="20"/>
          <w:szCs w:val="20"/>
          <w:lang w:val="sr-Cyrl-BA" w:eastAsia="sr-Cyrl-CS"/>
        </w:rPr>
        <w:t>‬</w:t>
      </w:r>
      <w:r w:rsidR="005D2D24" w:rsidRPr="005D2D24">
        <w:rPr>
          <w:rFonts w:asciiTheme="minorHAnsi" w:hAnsiTheme="minorHAnsi"/>
          <w:sz w:val="20"/>
          <w:szCs w:val="20"/>
          <w:lang w:val="sr-Cyrl-BA" w:eastAsia="sr-Cyrl-CS"/>
        </w:rPr>
        <w:t xml:space="preserve"> </w:t>
      </w:r>
      <w:r w:rsidR="00F119E9">
        <w:rPr>
          <w:rFonts w:ascii="Calibri" w:hAnsi="Calibri" w:cs="Calibri"/>
          <w:sz w:val="20"/>
          <w:szCs w:val="20"/>
          <w:lang w:val="sr-Cyrl-BA" w:eastAsia="sr-Cyrl-CS"/>
        </w:rPr>
        <w:t>остварен</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приход</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износу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w:t>
      </w:r>
      <w:r w:rsidR="005D2D24" w:rsidRPr="005D2D24">
        <w:rPr>
          <w:rFonts w:asciiTheme="minorHAnsi" w:hAnsiTheme="minorHAnsi"/>
          <w:sz w:val="20"/>
          <w:szCs w:val="20"/>
          <w:lang w:val="sr-Cyrl-BA" w:eastAsia="sr-Cyrl-CS"/>
        </w:rPr>
        <w:t xml:space="preserve"> </w:t>
      </w:r>
      <w:r w:rsidR="00DB10AE">
        <w:rPr>
          <w:rFonts w:asciiTheme="minorHAnsi" w:hAnsiTheme="minorHAnsi"/>
          <w:sz w:val="20"/>
          <w:szCs w:val="20"/>
          <w:lang w:val="sr-Cyrl-BA" w:eastAsia="sr-Cyrl-CS"/>
        </w:rPr>
        <w:t>473.180,75</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КМ</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док</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се</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на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гаранције</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кредитног</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портфеља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односи</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приход</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износу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од</w:t>
      </w:r>
      <w:r w:rsidR="005D2D24" w:rsidRPr="005D2D24">
        <w:rPr>
          <w:rFonts w:asciiTheme="minorHAnsi" w:hAnsiTheme="minorHAnsi"/>
          <w:sz w:val="20"/>
          <w:szCs w:val="20"/>
          <w:lang w:val="sr-Cyrl-BA" w:eastAsia="sr-Cyrl-CS"/>
        </w:rPr>
        <w:t xml:space="preserve"> </w:t>
      </w:r>
      <w:r w:rsidR="00DB10AE">
        <w:rPr>
          <w:rFonts w:asciiTheme="minorHAnsi" w:hAnsiTheme="minorHAnsi"/>
          <w:sz w:val="20"/>
          <w:szCs w:val="20"/>
          <w:lang w:val="sr-Cyrl-BA" w:eastAsia="sr-Cyrl-CS"/>
        </w:rPr>
        <w:t>98.</w:t>
      </w:r>
      <w:r w:rsidR="00F119E9">
        <w:rPr>
          <w:rFonts w:asciiTheme="minorHAnsi" w:hAnsiTheme="minorHAnsi"/>
          <w:sz w:val="20"/>
          <w:szCs w:val="20"/>
          <w:lang w:val="sr-Cyrl-BA" w:eastAsia="sr-Cyrl-CS"/>
        </w:rPr>
        <w:t>905,74</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КМ</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Ова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укидања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резервисања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резултат</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су</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примјене</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МСФИ</w:t>
      </w:r>
      <w:r w:rsidR="005D2D24" w:rsidRPr="005D2D24">
        <w:rPr>
          <w:rFonts w:asciiTheme="minorHAnsi" w:hAnsiTheme="minorHAnsi"/>
          <w:sz w:val="20"/>
          <w:szCs w:val="20"/>
          <w:lang w:val="sr-Cyrl-BA" w:eastAsia="sr-Cyrl-CS"/>
        </w:rPr>
        <w:t xml:space="preserve"> 9 </w:t>
      </w:r>
      <w:r w:rsidR="005D2D24" w:rsidRPr="005D2D24">
        <w:rPr>
          <w:rFonts w:ascii="Calibri" w:hAnsi="Calibri" w:cs="Calibri"/>
          <w:sz w:val="20"/>
          <w:szCs w:val="20"/>
          <w:lang w:val="sr-Cyrl-BA" w:eastAsia="sr-Cyrl-CS"/>
        </w:rPr>
        <w:t>за</w:t>
      </w:r>
      <w:r w:rsidR="005D2D24" w:rsidRPr="005D2D24">
        <w:rPr>
          <w:rFonts w:asciiTheme="minorHAnsi" w:hAnsiTheme="minorHAnsi"/>
          <w:sz w:val="20"/>
          <w:szCs w:val="20"/>
          <w:lang w:val="sr-Cyrl-BA" w:eastAsia="sr-Cyrl-CS"/>
        </w:rPr>
        <w:t xml:space="preserve"> </w:t>
      </w:r>
      <w:r w:rsidR="005D2D24" w:rsidRPr="005D2D24">
        <w:rPr>
          <w:rFonts w:ascii="Calibri" w:hAnsi="Calibri" w:cs="Calibri"/>
          <w:sz w:val="20"/>
          <w:szCs w:val="20"/>
          <w:lang w:val="sr-Cyrl-BA" w:eastAsia="sr-Cyrl-CS"/>
        </w:rPr>
        <w:t>извје</w:t>
      </w:r>
      <w:r w:rsidR="005D2D24" w:rsidRPr="005D2D24">
        <w:rPr>
          <w:rFonts w:asciiTheme="minorHAnsi" w:hAnsiTheme="minorHAnsi"/>
          <w:sz w:val="20"/>
          <w:szCs w:val="20"/>
          <w:lang w:val="sr-Cyrl-BA" w:eastAsia="sr-Cyrl-CS"/>
        </w:rPr>
        <w:t>штајну годину, а односе се на клијенте који су у току године побољшали финансијску позицију и почели редовно измиривати доспјеле оба</w:t>
      </w:r>
      <w:r w:rsidR="005D2D24">
        <w:rPr>
          <w:rFonts w:asciiTheme="minorHAnsi" w:hAnsiTheme="minorHAnsi"/>
          <w:sz w:val="20"/>
          <w:szCs w:val="20"/>
          <w:lang w:val="sr-Cyrl-BA" w:eastAsia="sr-Cyrl-CS"/>
        </w:rPr>
        <w:t>везе по кредитима и гаранцијама.</w:t>
      </w:r>
    </w:p>
    <w:p w:rsidR="00F119E9" w:rsidRPr="005767EF" w:rsidRDefault="00F119E9" w:rsidP="001538EF">
      <w:pPr>
        <w:rPr>
          <w:rFonts w:asciiTheme="minorHAnsi" w:hAnsiTheme="minorHAnsi"/>
          <w:sz w:val="20"/>
          <w:szCs w:val="20"/>
          <w:lang w:val="sr-Cyrl-BA" w:eastAsia="sr-Cyrl-CS"/>
        </w:rPr>
      </w:pPr>
      <w:r>
        <w:rPr>
          <w:rFonts w:asciiTheme="minorHAnsi" w:hAnsiTheme="minorHAnsi"/>
          <w:sz w:val="20"/>
          <w:szCs w:val="20"/>
          <w:lang w:val="sr-Cyrl-BA" w:eastAsia="sr-Cyrl-CS"/>
        </w:rPr>
        <w:t xml:space="preserve">Преостали износ од 48.308,87 КМ у оквиру ове групе прихода се односи на </w:t>
      </w:r>
      <w:r w:rsidR="00A92F7A">
        <w:rPr>
          <w:rFonts w:asciiTheme="minorHAnsi" w:hAnsiTheme="minorHAnsi"/>
          <w:sz w:val="20"/>
          <w:szCs w:val="20"/>
          <w:lang w:val="sr-Cyrl-BA" w:eastAsia="sr-Cyrl-CS"/>
        </w:rPr>
        <w:t xml:space="preserve">исправку вриједности потраживања од Банке Српске, с обзиром да је Гарантни фонд током 2024. године из расположиве стечајне масе наплатио дио потраживања по основу камате. Поред тога, овлаштени процјенитељ је потраживања процијенио у већем износу у односу на 2023. годину, а разлика је призната као приход. </w:t>
      </w:r>
    </w:p>
    <w:p w:rsidR="001538EF" w:rsidRPr="005767EF" w:rsidRDefault="001538EF" w:rsidP="001538EF">
      <w:pPr>
        <w:autoSpaceDE w:val="0"/>
        <w:autoSpaceDN w:val="0"/>
        <w:adjustRightInd w:val="0"/>
        <w:jc w:val="left"/>
        <w:rPr>
          <w:rFonts w:asciiTheme="minorHAnsi" w:eastAsiaTheme="minorHAnsi" w:hAnsiTheme="minorHAnsi"/>
          <w:bCs/>
          <w:sz w:val="20"/>
          <w:szCs w:val="20"/>
          <w:lang w:val="sr-Latn-RS" w:eastAsia="en-US"/>
        </w:rPr>
      </w:pPr>
    </w:p>
    <w:p w:rsidR="00617810" w:rsidRPr="005767EF" w:rsidRDefault="001538EF" w:rsidP="00013EC5">
      <w:pPr>
        <w:autoSpaceDE w:val="0"/>
        <w:autoSpaceDN w:val="0"/>
        <w:adjustRightInd w:val="0"/>
        <w:rPr>
          <w:rFonts w:asciiTheme="minorHAnsi" w:eastAsiaTheme="minorHAnsi" w:hAnsiTheme="minorHAnsi"/>
          <w:bCs/>
          <w:sz w:val="20"/>
          <w:szCs w:val="20"/>
          <w:lang w:val="sr-Cyrl-BA" w:eastAsia="en-US"/>
        </w:rPr>
      </w:pPr>
      <w:r w:rsidRPr="007377DB">
        <w:rPr>
          <w:rFonts w:asciiTheme="minorHAnsi" w:eastAsiaTheme="minorHAnsi" w:hAnsiTheme="minorHAnsi"/>
          <w:b/>
          <w:bCs/>
          <w:sz w:val="20"/>
          <w:szCs w:val="20"/>
          <w:lang w:val="sr-Cyrl-BA" w:eastAsia="en-US"/>
        </w:rPr>
        <w:t>Остали приходи</w:t>
      </w:r>
      <w:r w:rsidRPr="005767EF">
        <w:rPr>
          <w:rFonts w:asciiTheme="minorHAnsi" w:eastAsiaTheme="minorHAnsi" w:hAnsiTheme="minorHAnsi"/>
          <w:bCs/>
          <w:sz w:val="20"/>
          <w:szCs w:val="20"/>
          <w:lang w:val="sr-Cyrl-BA" w:eastAsia="en-US"/>
        </w:rPr>
        <w:t xml:space="preserve"> у износу од </w:t>
      </w:r>
      <w:r w:rsidR="00BA37B9">
        <w:rPr>
          <w:rFonts w:asciiTheme="minorHAnsi" w:eastAsiaTheme="minorHAnsi" w:hAnsiTheme="minorHAnsi"/>
          <w:bCs/>
          <w:sz w:val="20"/>
          <w:szCs w:val="20"/>
          <w:lang w:val="sr-Cyrl-BA" w:eastAsia="en-US"/>
        </w:rPr>
        <w:t>25.113,32</w:t>
      </w:r>
      <w:r w:rsidRPr="005767EF">
        <w:rPr>
          <w:rFonts w:asciiTheme="minorHAnsi" w:eastAsiaTheme="minorHAnsi" w:hAnsiTheme="minorHAnsi"/>
          <w:bCs/>
          <w:sz w:val="20"/>
          <w:szCs w:val="20"/>
          <w:lang w:val="sr-Cyrl-BA" w:eastAsia="en-US"/>
        </w:rPr>
        <w:t xml:space="preserve"> КМ </w:t>
      </w:r>
      <w:r w:rsidR="00910D8B">
        <w:rPr>
          <w:rFonts w:asciiTheme="minorHAnsi" w:eastAsiaTheme="minorHAnsi" w:hAnsiTheme="minorHAnsi"/>
          <w:bCs/>
          <w:sz w:val="20"/>
          <w:szCs w:val="20"/>
          <w:lang w:val="sr-Cyrl-BA" w:eastAsia="en-US"/>
        </w:rPr>
        <w:t>се односе</w:t>
      </w:r>
      <w:r w:rsidRPr="005767EF">
        <w:rPr>
          <w:rFonts w:asciiTheme="minorHAnsi" w:eastAsiaTheme="minorHAnsi" w:hAnsiTheme="minorHAnsi"/>
          <w:bCs/>
          <w:sz w:val="20"/>
          <w:szCs w:val="20"/>
          <w:lang w:val="sr-Cyrl-BA" w:eastAsia="en-US"/>
        </w:rPr>
        <w:t xml:space="preserve"> на</w:t>
      </w:r>
      <w:r w:rsidR="00910D8B">
        <w:rPr>
          <w:rFonts w:asciiTheme="minorHAnsi" w:eastAsiaTheme="minorHAnsi" w:hAnsiTheme="minorHAnsi"/>
          <w:bCs/>
          <w:sz w:val="20"/>
          <w:szCs w:val="20"/>
          <w:lang w:val="sr-Cyrl-BA" w:eastAsia="en-US"/>
        </w:rPr>
        <w:t>:</w:t>
      </w:r>
      <w:r w:rsidRPr="005767EF">
        <w:rPr>
          <w:rFonts w:asciiTheme="minorHAnsi" w:eastAsiaTheme="minorHAnsi" w:hAnsiTheme="minorHAnsi"/>
          <w:bCs/>
          <w:sz w:val="20"/>
          <w:szCs w:val="20"/>
          <w:lang w:val="sr-Cyrl-BA" w:eastAsia="en-US"/>
        </w:rPr>
        <w:t xml:space="preserve"> рефундације Фонда здравственог и инвалидског осигурања Републике Српске за болов</w:t>
      </w:r>
      <w:r w:rsidR="00910D8B">
        <w:rPr>
          <w:rFonts w:asciiTheme="minorHAnsi" w:eastAsiaTheme="minorHAnsi" w:hAnsiTheme="minorHAnsi"/>
          <w:bCs/>
          <w:sz w:val="20"/>
          <w:szCs w:val="20"/>
          <w:lang w:val="sr-Cyrl-BA" w:eastAsia="en-US"/>
        </w:rPr>
        <w:t xml:space="preserve">ања радника и породиљски допуст, приходе од </w:t>
      </w:r>
      <w:r w:rsidR="00BA37B9">
        <w:rPr>
          <w:rFonts w:asciiTheme="minorHAnsi" w:eastAsiaTheme="minorHAnsi" w:hAnsiTheme="minorHAnsi"/>
          <w:bCs/>
          <w:sz w:val="20"/>
          <w:szCs w:val="20"/>
          <w:lang w:val="sr-Cyrl-BA" w:eastAsia="en-US"/>
        </w:rPr>
        <w:t>накнаде штете, приходе по основу престанка признавања финансијских инструмената у складу са МРС 9</w:t>
      </w:r>
      <w:r w:rsidR="00910D8B">
        <w:rPr>
          <w:rFonts w:asciiTheme="minorHAnsi" w:eastAsiaTheme="minorHAnsi" w:hAnsiTheme="minorHAnsi"/>
          <w:bCs/>
          <w:sz w:val="20"/>
          <w:szCs w:val="20"/>
          <w:lang w:val="sr-Cyrl-BA" w:eastAsia="en-US"/>
        </w:rPr>
        <w:t xml:space="preserve"> и остале ванредне приходе.</w:t>
      </w:r>
    </w:p>
    <w:p w:rsidR="00617810" w:rsidRPr="005767EF" w:rsidRDefault="00617810" w:rsidP="00013EC5">
      <w:pPr>
        <w:autoSpaceDE w:val="0"/>
        <w:autoSpaceDN w:val="0"/>
        <w:adjustRightInd w:val="0"/>
        <w:rPr>
          <w:rFonts w:asciiTheme="minorHAnsi" w:eastAsiaTheme="minorHAnsi" w:hAnsiTheme="minorHAnsi"/>
          <w:bCs/>
          <w:sz w:val="20"/>
          <w:szCs w:val="20"/>
          <w:lang w:val="sr-Cyrl-BA" w:eastAsia="en-US"/>
        </w:rPr>
      </w:pPr>
    </w:p>
    <w:p w:rsidR="005B2B10" w:rsidRPr="005767EF" w:rsidRDefault="005B2B10" w:rsidP="00013EC5">
      <w:pPr>
        <w:autoSpaceDE w:val="0"/>
        <w:autoSpaceDN w:val="0"/>
        <w:adjustRightInd w:val="0"/>
        <w:rPr>
          <w:rFonts w:asciiTheme="minorHAnsi" w:eastAsiaTheme="minorHAnsi" w:hAnsiTheme="minorHAnsi"/>
          <w:bCs/>
          <w:sz w:val="20"/>
          <w:szCs w:val="20"/>
          <w:lang w:val="sr-Cyrl-BA" w:eastAsia="en-US"/>
        </w:rPr>
      </w:pPr>
      <w:r w:rsidRPr="005767EF">
        <w:rPr>
          <w:rFonts w:asciiTheme="minorHAnsi" w:eastAsiaTheme="minorHAnsi" w:hAnsiTheme="minorHAnsi"/>
          <w:bCs/>
          <w:sz w:val="20"/>
          <w:szCs w:val="20"/>
          <w:lang w:val="sr-Cyrl-BA" w:eastAsia="en-US"/>
        </w:rPr>
        <w:t>Ако посматрамо план остварења прихода за 202</w:t>
      </w:r>
      <w:r w:rsidR="003D6595">
        <w:rPr>
          <w:rFonts w:asciiTheme="minorHAnsi" w:eastAsiaTheme="minorHAnsi" w:hAnsiTheme="minorHAnsi"/>
          <w:bCs/>
          <w:sz w:val="20"/>
          <w:szCs w:val="20"/>
          <w:lang w:val="sr-Cyrl-BA" w:eastAsia="en-US"/>
        </w:rPr>
        <w:t>4</w:t>
      </w:r>
      <w:r w:rsidRPr="005767EF">
        <w:rPr>
          <w:rFonts w:asciiTheme="minorHAnsi" w:eastAsiaTheme="minorHAnsi" w:hAnsiTheme="minorHAnsi"/>
          <w:bCs/>
          <w:sz w:val="20"/>
          <w:szCs w:val="20"/>
          <w:lang w:val="sr-Cyrl-BA" w:eastAsia="en-US"/>
        </w:rPr>
        <w:t>. годину, на већини позиција је видљиво значајно одступање, односно остварење у мањем износу од планираног. Највеће одступање је примјетно у реализацији плана прихода од премија и провизија, те</w:t>
      </w:r>
      <w:r w:rsidR="00617810" w:rsidRPr="005767EF">
        <w:rPr>
          <w:rFonts w:asciiTheme="minorHAnsi" w:eastAsiaTheme="minorHAnsi" w:hAnsiTheme="minorHAnsi"/>
          <w:bCs/>
          <w:sz w:val="20"/>
          <w:szCs w:val="20"/>
          <w:lang w:val="sr-Cyrl-BA" w:eastAsia="en-US"/>
        </w:rPr>
        <w:t xml:space="preserve"> на позицији приход</w:t>
      </w:r>
      <w:r w:rsidRPr="005767EF">
        <w:rPr>
          <w:rFonts w:asciiTheme="minorHAnsi" w:eastAsiaTheme="minorHAnsi" w:hAnsiTheme="minorHAnsi"/>
          <w:bCs/>
          <w:sz w:val="20"/>
          <w:szCs w:val="20"/>
          <w:lang w:val="sr-Cyrl-BA" w:eastAsia="en-US"/>
        </w:rPr>
        <w:t xml:space="preserve">а од </w:t>
      </w:r>
      <w:r w:rsidR="003D6595">
        <w:rPr>
          <w:rFonts w:asciiTheme="minorHAnsi" w:eastAsiaTheme="minorHAnsi" w:hAnsiTheme="minorHAnsi"/>
          <w:bCs/>
          <w:sz w:val="20"/>
          <w:szCs w:val="20"/>
          <w:lang w:val="sr-Cyrl-BA" w:eastAsia="en-US"/>
        </w:rPr>
        <w:t>камата</w:t>
      </w:r>
      <w:r w:rsidRPr="005767EF">
        <w:rPr>
          <w:rFonts w:asciiTheme="minorHAnsi" w:eastAsiaTheme="minorHAnsi" w:hAnsiTheme="minorHAnsi"/>
          <w:bCs/>
          <w:sz w:val="20"/>
          <w:szCs w:val="20"/>
          <w:lang w:val="sr-Cyrl-BA" w:eastAsia="en-US"/>
        </w:rPr>
        <w:t xml:space="preserve">. Одступање од плана прихода од премија и провизија је у директној вези са чињеницом да није реализован план </w:t>
      </w:r>
      <w:r w:rsidR="00B5068E">
        <w:rPr>
          <w:rFonts w:asciiTheme="minorHAnsi" w:eastAsiaTheme="minorHAnsi" w:hAnsiTheme="minorHAnsi"/>
          <w:bCs/>
          <w:sz w:val="20"/>
          <w:szCs w:val="20"/>
          <w:lang w:val="sr-Cyrl-BA" w:eastAsia="en-US"/>
        </w:rPr>
        <w:t xml:space="preserve">гаранција из редовне активности. </w:t>
      </w:r>
      <w:r w:rsidR="00617810" w:rsidRPr="005767EF">
        <w:rPr>
          <w:rFonts w:asciiTheme="minorHAnsi" w:eastAsiaTheme="minorHAnsi" w:hAnsiTheme="minorHAnsi"/>
          <w:bCs/>
          <w:sz w:val="20"/>
          <w:szCs w:val="20"/>
          <w:lang w:val="sr-Cyrl-BA" w:eastAsia="en-US"/>
        </w:rPr>
        <w:t>Неиспуњење плана издавања појединачних гаранција</w:t>
      </w:r>
      <w:r w:rsidRPr="005767EF">
        <w:rPr>
          <w:rFonts w:asciiTheme="minorHAnsi" w:eastAsiaTheme="minorHAnsi" w:hAnsiTheme="minorHAnsi"/>
          <w:bCs/>
          <w:sz w:val="20"/>
          <w:szCs w:val="20"/>
          <w:lang w:val="sr-Cyrl-BA" w:eastAsia="en-US"/>
        </w:rPr>
        <w:t xml:space="preserve"> </w:t>
      </w:r>
      <w:r w:rsidR="00617810" w:rsidRPr="005767EF">
        <w:rPr>
          <w:rFonts w:asciiTheme="minorHAnsi" w:eastAsiaTheme="minorHAnsi" w:hAnsiTheme="minorHAnsi"/>
          <w:bCs/>
          <w:sz w:val="20"/>
          <w:szCs w:val="20"/>
          <w:lang w:val="sr-Cyrl-BA" w:eastAsia="en-US"/>
        </w:rPr>
        <w:t>је једним дијелом узроковано</w:t>
      </w:r>
      <w:r w:rsidRPr="005767EF">
        <w:rPr>
          <w:rFonts w:asciiTheme="minorHAnsi" w:eastAsiaTheme="minorHAnsi" w:hAnsiTheme="minorHAnsi"/>
          <w:bCs/>
          <w:sz w:val="20"/>
          <w:szCs w:val="20"/>
          <w:lang w:val="sr-Cyrl-BA" w:eastAsia="en-US"/>
        </w:rPr>
        <w:t xml:space="preserve"> већом заинтересованошћу финансијских посредника за гаранције из кредитног портфеља</w:t>
      </w:r>
      <w:r w:rsidR="00617810" w:rsidRPr="005767EF">
        <w:rPr>
          <w:rFonts w:asciiTheme="minorHAnsi" w:eastAsiaTheme="minorHAnsi" w:hAnsiTheme="minorHAnsi"/>
          <w:bCs/>
          <w:sz w:val="20"/>
          <w:szCs w:val="20"/>
          <w:lang w:val="sr-Cyrl-BA" w:eastAsia="en-US"/>
        </w:rPr>
        <w:t>. Узрок томе су бржа и једноставнија процедура издавања гаранција, ниже</w:t>
      </w:r>
      <w:r w:rsidRPr="005767EF">
        <w:rPr>
          <w:rFonts w:asciiTheme="minorHAnsi" w:eastAsiaTheme="minorHAnsi" w:hAnsiTheme="minorHAnsi"/>
          <w:bCs/>
          <w:sz w:val="20"/>
          <w:szCs w:val="20"/>
          <w:lang w:val="sr-Cyrl-BA" w:eastAsia="en-US"/>
        </w:rPr>
        <w:t xml:space="preserve"> стопе премиј</w:t>
      </w:r>
      <w:r w:rsidR="00617810" w:rsidRPr="005767EF">
        <w:rPr>
          <w:rFonts w:asciiTheme="minorHAnsi" w:eastAsiaTheme="minorHAnsi" w:hAnsiTheme="minorHAnsi"/>
          <w:bCs/>
          <w:sz w:val="20"/>
          <w:szCs w:val="20"/>
          <w:lang w:val="sr-Cyrl-BA" w:eastAsia="en-US"/>
        </w:rPr>
        <w:t>а и мањи трошак за клијента.</w:t>
      </w:r>
    </w:p>
    <w:p w:rsidR="00F731FD" w:rsidRDefault="00F731FD"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2F1FCA" w:rsidRDefault="002F1FCA" w:rsidP="00013EC5">
      <w:pPr>
        <w:autoSpaceDE w:val="0"/>
        <w:autoSpaceDN w:val="0"/>
        <w:adjustRightInd w:val="0"/>
        <w:rPr>
          <w:rFonts w:asciiTheme="minorHAnsi" w:eastAsiaTheme="minorHAnsi" w:hAnsiTheme="minorHAnsi"/>
          <w:bCs/>
          <w:sz w:val="20"/>
          <w:szCs w:val="20"/>
          <w:lang w:val="sr-Cyrl-BA" w:eastAsia="en-US"/>
        </w:rPr>
      </w:pPr>
    </w:p>
    <w:p w:rsidR="00D83063" w:rsidRPr="005767EF" w:rsidRDefault="00D83063" w:rsidP="001538EF">
      <w:pPr>
        <w:autoSpaceDE w:val="0"/>
        <w:autoSpaceDN w:val="0"/>
        <w:adjustRightInd w:val="0"/>
        <w:jc w:val="left"/>
        <w:rPr>
          <w:rFonts w:asciiTheme="minorHAnsi" w:eastAsiaTheme="minorHAnsi" w:hAnsiTheme="minorHAnsi"/>
          <w:sz w:val="20"/>
          <w:szCs w:val="20"/>
          <w:lang w:val="sr-Cyrl-RS" w:eastAsia="en-US"/>
        </w:rPr>
      </w:pPr>
    </w:p>
    <w:p w:rsidR="001538EF" w:rsidRPr="00EE16CE" w:rsidRDefault="00E84021" w:rsidP="00910D8B">
      <w:pPr>
        <w:pStyle w:val="Heading2"/>
        <w:numPr>
          <w:ilvl w:val="0"/>
          <w:numId w:val="0"/>
        </w:numPr>
        <w:rPr>
          <w:rFonts w:asciiTheme="minorHAnsi" w:hAnsiTheme="minorHAnsi"/>
          <w:szCs w:val="20"/>
          <w:lang w:val="sr-Cyrl-RS"/>
        </w:rPr>
      </w:pPr>
      <w:bookmarkStart w:id="13" w:name="_Toc135292176"/>
      <w:r>
        <w:rPr>
          <w:rFonts w:asciiTheme="minorHAnsi" w:hAnsiTheme="minorHAnsi"/>
          <w:szCs w:val="20"/>
          <w:lang w:val="sr-Cyrl-RS"/>
        </w:rPr>
        <w:t xml:space="preserve">3.2 </w:t>
      </w:r>
      <w:r w:rsidR="001538EF" w:rsidRPr="005767EF">
        <w:rPr>
          <w:rFonts w:asciiTheme="minorHAnsi" w:hAnsiTheme="minorHAnsi"/>
          <w:szCs w:val="20"/>
        </w:rPr>
        <w:t>АНАЛИЗ</w:t>
      </w:r>
      <w:r w:rsidR="00EE16CE">
        <w:rPr>
          <w:rFonts w:asciiTheme="minorHAnsi" w:hAnsiTheme="minorHAnsi"/>
          <w:szCs w:val="20"/>
        </w:rPr>
        <w:t xml:space="preserve">А ОСТВАРЕНИХ РАСХОДА </w:t>
      </w:r>
      <w:r w:rsidR="00EE16CE">
        <w:rPr>
          <w:rFonts w:asciiTheme="minorHAnsi" w:hAnsiTheme="minorHAnsi"/>
          <w:szCs w:val="20"/>
          <w:lang w:val="sr-Cyrl-RS"/>
        </w:rPr>
        <w:t>У</w:t>
      </w:r>
      <w:r w:rsidR="001538EF" w:rsidRPr="005767EF">
        <w:rPr>
          <w:rFonts w:asciiTheme="minorHAnsi" w:hAnsiTheme="minorHAnsi"/>
          <w:szCs w:val="20"/>
        </w:rPr>
        <w:t xml:space="preserve"> 202</w:t>
      </w:r>
      <w:r w:rsidR="00D71C9D">
        <w:rPr>
          <w:rFonts w:asciiTheme="minorHAnsi" w:hAnsiTheme="minorHAnsi"/>
          <w:szCs w:val="20"/>
          <w:lang w:val="bs-Latn-BA"/>
        </w:rPr>
        <w:t>4</w:t>
      </w:r>
      <w:r w:rsidR="001538EF" w:rsidRPr="005767EF">
        <w:rPr>
          <w:rFonts w:asciiTheme="minorHAnsi" w:hAnsiTheme="minorHAnsi"/>
          <w:szCs w:val="20"/>
        </w:rPr>
        <w:t>. ГОДИН</w:t>
      </w:r>
      <w:bookmarkEnd w:id="13"/>
      <w:r w:rsidR="005D0BE8">
        <w:rPr>
          <w:rFonts w:asciiTheme="minorHAnsi" w:hAnsiTheme="minorHAnsi"/>
          <w:szCs w:val="20"/>
          <w:lang w:val="sr-Cyrl-RS"/>
        </w:rPr>
        <w:t>И</w:t>
      </w:r>
    </w:p>
    <w:p w:rsidR="001538EF" w:rsidRDefault="001538EF" w:rsidP="001538EF">
      <w:pPr>
        <w:rPr>
          <w:rFonts w:asciiTheme="minorHAnsi" w:hAnsiTheme="minorHAnsi"/>
          <w:sz w:val="20"/>
          <w:szCs w:val="20"/>
          <w:lang w:val="sr-Cyrl-CS" w:eastAsia="sr-Cyrl-CS"/>
        </w:rPr>
      </w:pPr>
    </w:p>
    <w:p w:rsidR="00DF0E2C" w:rsidRPr="005767EF" w:rsidRDefault="00DF0E2C" w:rsidP="001538EF">
      <w:pPr>
        <w:rPr>
          <w:rFonts w:asciiTheme="minorHAnsi" w:hAnsiTheme="minorHAnsi"/>
          <w:sz w:val="20"/>
          <w:szCs w:val="20"/>
          <w:lang w:val="sr-Cyrl-CS" w:eastAsia="sr-Cyrl-CS"/>
        </w:rPr>
      </w:pPr>
    </w:p>
    <w:p w:rsidR="001538EF" w:rsidRPr="005767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остварених расхода пословања у 202</w:t>
      </w:r>
      <w:r w:rsidR="00D71C9D">
        <w:rPr>
          <w:rFonts w:asciiTheme="minorHAnsi" w:hAnsiTheme="minorHAnsi"/>
          <w:b/>
          <w:sz w:val="20"/>
          <w:szCs w:val="20"/>
          <w:lang w:eastAsia="sr-Cyrl-CS"/>
        </w:rPr>
        <w:t>4</w:t>
      </w:r>
      <w:r w:rsidRPr="005767EF">
        <w:rPr>
          <w:rFonts w:asciiTheme="minorHAnsi" w:hAnsiTheme="minorHAnsi"/>
          <w:b/>
          <w:sz w:val="20"/>
          <w:szCs w:val="20"/>
          <w:lang w:val="sr-Cyrl-CS" w:eastAsia="sr-Cyrl-CS"/>
        </w:rPr>
        <w:t>. години</w:t>
      </w:r>
    </w:p>
    <w:p w:rsidR="001538EF" w:rsidRPr="005767EF" w:rsidRDefault="001538EF" w:rsidP="001538EF">
      <w:pPr>
        <w:rPr>
          <w:rFonts w:asciiTheme="minorHAnsi" w:hAnsiTheme="minorHAnsi"/>
          <w:b/>
          <w:sz w:val="20"/>
          <w:szCs w:val="20"/>
          <w:lang w:val="sr-Cyrl-BA" w:eastAsia="sr-Cyrl-CS"/>
        </w:rPr>
      </w:pPr>
    </w:p>
    <w:p w:rsidR="001538EF" w:rsidRDefault="001538EF" w:rsidP="00617810">
      <w:pPr>
        <w:ind w:left="7788"/>
        <w:rPr>
          <w:rFonts w:asciiTheme="minorHAnsi" w:hAnsiTheme="minorHAnsi"/>
          <w:b/>
          <w:sz w:val="20"/>
          <w:szCs w:val="20"/>
          <w:lang w:val="sr-Cyrl-BA" w:eastAsia="sr-Cyrl-CS"/>
        </w:rPr>
      </w:pPr>
      <w:r w:rsidRPr="005767EF">
        <w:rPr>
          <w:rFonts w:asciiTheme="minorHAnsi" w:hAnsiTheme="minorHAnsi"/>
          <w:b/>
          <w:sz w:val="20"/>
          <w:szCs w:val="20"/>
          <w:lang w:val="sr-Cyrl-BA" w:eastAsia="sr-Cyrl-CS"/>
        </w:rPr>
        <w:t xml:space="preserve">                   </w:t>
      </w:r>
      <w:r w:rsidR="00617810" w:rsidRPr="005767EF">
        <w:rPr>
          <w:rFonts w:asciiTheme="minorHAnsi" w:hAnsiTheme="minorHAnsi"/>
          <w:b/>
          <w:sz w:val="20"/>
          <w:szCs w:val="20"/>
          <w:lang w:val="sr-Cyrl-BA" w:eastAsia="sr-Cyrl-CS"/>
        </w:rPr>
        <w:t xml:space="preserve"> </w:t>
      </w:r>
      <w:r w:rsidR="00910D8B">
        <w:rPr>
          <w:rFonts w:asciiTheme="minorHAnsi" w:hAnsiTheme="minorHAnsi"/>
          <w:b/>
          <w:sz w:val="20"/>
          <w:szCs w:val="20"/>
          <w:lang w:val="sr-Cyrl-BA" w:eastAsia="sr-Cyrl-CS"/>
        </w:rPr>
        <w:t xml:space="preserve">   </w:t>
      </w:r>
      <w:r w:rsidR="00A43C1F">
        <w:rPr>
          <w:rFonts w:asciiTheme="minorHAnsi" w:hAnsiTheme="minorHAnsi"/>
          <w:b/>
          <w:sz w:val="20"/>
          <w:szCs w:val="20"/>
          <w:lang w:val="sr-Cyrl-BA" w:eastAsia="sr-Cyrl-CS"/>
        </w:rPr>
        <w:t xml:space="preserve">       </w:t>
      </w:r>
      <w:r w:rsidR="00617810" w:rsidRPr="005767EF">
        <w:rPr>
          <w:rFonts w:asciiTheme="minorHAnsi" w:hAnsiTheme="minorHAnsi"/>
          <w:b/>
          <w:sz w:val="20"/>
          <w:szCs w:val="20"/>
          <w:lang w:val="sr-Cyrl-BA" w:eastAsia="sr-Cyrl-CS"/>
        </w:rPr>
        <w:t xml:space="preserve">Табела </w:t>
      </w:r>
      <w:r w:rsidR="0034546F">
        <w:rPr>
          <w:rFonts w:asciiTheme="minorHAnsi" w:hAnsiTheme="minorHAnsi"/>
          <w:b/>
          <w:sz w:val="20"/>
          <w:szCs w:val="20"/>
          <w:lang w:val="sr-Cyrl-BA" w:eastAsia="sr-Cyrl-CS"/>
        </w:rPr>
        <w:t>18</w:t>
      </w:r>
    </w:p>
    <w:p w:rsidR="004828F7" w:rsidRPr="005767EF" w:rsidRDefault="004828F7" w:rsidP="00617810">
      <w:pPr>
        <w:ind w:left="7788"/>
        <w:rPr>
          <w:rFonts w:asciiTheme="minorHAnsi" w:hAnsiTheme="minorHAnsi"/>
          <w:b/>
          <w:sz w:val="20"/>
          <w:szCs w:val="20"/>
          <w:lang w:val="sr-Cyrl-BA" w:eastAsia="sr-Cyrl-CS"/>
        </w:rPr>
      </w:pPr>
    </w:p>
    <w:tbl>
      <w:tblPr>
        <w:tblW w:w="8789" w:type="dxa"/>
        <w:tblInd w:w="108" w:type="dxa"/>
        <w:tblLook w:val="04A0" w:firstRow="1" w:lastRow="0" w:firstColumn="1" w:lastColumn="0" w:noHBand="0" w:noVBand="1"/>
      </w:tblPr>
      <w:tblGrid>
        <w:gridCol w:w="851"/>
        <w:gridCol w:w="3969"/>
        <w:gridCol w:w="1417"/>
        <w:gridCol w:w="1560"/>
        <w:gridCol w:w="992"/>
      </w:tblGrid>
      <w:tr w:rsidR="004828F7" w:rsidRPr="004828F7" w:rsidTr="004828F7">
        <w:trPr>
          <w:trHeight w:val="630"/>
        </w:trPr>
        <w:tc>
          <w:tcPr>
            <w:tcW w:w="85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Конто</w:t>
            </w:r>
          </w:p>
        </w:tc>
        <w:tc>
          <w:tcPr>
            <w:tcW w:w="3969" w:type="dxa"/>
            <w:tcBorders>
              <w:top w:val="single" w:sz="4" w:space="0" w:color="auto"/>
              <w:left w:val="nil"/>
              <w:bottom w:val="single" w:sz="4" w:space="0" w:color="auto"/>
              <w:right w:val="single" w:sz="4" w:space="0" w:color="auto"/>
            </w:tcBorders>
            <w:shd w:val="clear" w:color="000000" w:fill="8DB4E2"/>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Назив</w:t>
            </w:r>
          </w:p>
        </w:tc>
        <w:tc>
          <w:tcPr>
            <w:tcW w:w="1417" w:type="dxa"/>
            <w:tcBorders>
              <w:top w:val="single" w:sz="4" w:space="0" w:color="auto"/>
              <w:left w:val="nil"/>
              <w:bottom w:val="single" w:sz="4" w:space="0" w:color="auto"/>
              <w:right w:val="single" w:sz="4" w:space="0" w:color="auto"/>
            </w:tcBorders>
            <w:shd w:val="clear" w:color="000000" w:fill="8DB4E2"/>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Планирано у 2024. години</w:t>
            </w:r>
          </w:p>
        </w:tc>
        <w:tc>
          <w:tcPr>
            <w:tcW w:w="1560" w:type="dxa"/>
            <w:tcBorders>
              <w:top w:val="single" w:sz="4" w:space="0" w:color="auto"/>
              <w:left w:val="nil"/>
              <w:bottom w:val="single" w:sz="4" w:space="0" w:color="auto"/>
              <w:right w:val="single" w:sz="4" w:space="0" w:color="auto"/>
            </w:tcBorders>
            <w:shd w:val="clear" w:color="000000" w:fill="8DB4E2"/>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Остварено у 2024. години</w:t>
            </w:r>
          </w:p>
        </w:tc>
        <w:tc>
          <w:tcPr>
            <w:tcW w:w="992" w:type="dxa"/>
            <w:tcBorders>
              <w:top w:val="single" w:sz="4" w:space="0" w:color="auto"/>
              <w:left w:val="nil"/>
              <w:bottom w:val="single" w:sz="4" w:space="0" w:color="auto"/>
              <w:right w:val="single" w:sz="4" w:space="0" w:color="auto"/>
            </w:tcBorders>
            <w:shd w:val="clear" w:color="000000" w:fill="8DB4E2"/>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Индекс</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2</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3</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sz w:val="18"/>
                <w:szCs w:val="18"/>
              </w:rPr>
            </w:pPr>
            <w:r w:rsidRPr="004828F7">
              <w:rPr>
                <w:rFonts w:ascii="Calibri" w:hAnsi="Calibri"/>
                <w:bCs/>
                <w:sz w:val="18"/>
                <w:szCs w:val="18"/>
              </w:rPr>
              <w:t>60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Расходи камата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Cs/>
                <w:sz w:val="18"/>
                <w:szCs w:val="18"/>
              </w:rPr>
            </w:pP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16.008,38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sz w:val="18"/>
                <w:szCs w:val="18"/>
              </w:rPr>
            </w:pPr>
            <w:r w:rsidRPr="004828F7">
              <w:rPr>
                <w:rFonts w:ascii="Calibri" w:hAnsi="Calibri"/>
                <w:bCs/>
                <w:sz w:val="18"/>
                <w:szCs w:val="18"/>
              </w:rPr>
              <w:t>610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Расходи накнада у домаћој валути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sz w:val="18"/>
                <w:szCs w:val="18"/>
              </w:rPr>
            </w:pP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4.216,69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sz w:val="18"/>
                <w:szCs w:val="18"/>
              </w:rPr>
            </w:pPr>
            <w:r w:rsidRPr="004828F7">
              <w:rPr>
                <w:rFonts w:ascii="Calibri" w:hAnsi="Calibri"/>
                <w:bCs/>
                <w:sz w:val="18"/>
                <w:szCs w:val="18"/>
              </w:rPr>
              <w:t>61002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Накнада Централном регистру ХОВ</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sz w:val="18"/>
                <w:szCs w:val="18"/>
              </w:rPr>
            </w:pPr>
            <w:r w:rsidRPr="004828F7">
              <w:rPr>
                <w:rFonts w:ascii="Calibri" w:hAnsi="Calibri"/>
                <w:bCs/>
                <w:sz w:val="18"/>
                <w:szCs w:val="18"/>
              </w:rPr>
              <w:t>4.000,00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4</w:t>
            </w:r>
            <w:r w:rsidR="00131220">
              <w:rPr>
                <w:rFonts w:ascii="Calibri" w:hAnsi="Calibri"/>
                <w:bCs/>
                <w:color w:val="auto"/>
                <w:sz w:val="18"/>
                <w:szCs w:val="18"/>
                <w:lang w:val="sr-Cyrl-RS"/>
              </w:rPr>
              <w:t>.</w:t>
            </w:r>
            <w:r w:rsidRPr="004828F7">
              <w:rPr>
                <w:rFonts w:ascii="Calibri" w:hAnsi="Calibri"/>
                <w:bCs/>
                <w:color w:val="auto"/>
                <w:sz w:val="18"/>
                <w:szCs w:val="18"/>
              </w:rPr>
              <w:t>000,2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Cs/>
                <w:sz w:val="18"/>
                <w:szCs w:val="18"/>
              </w:rPr>
            </w:pPr>
            <w:r w:rsidRPr="004828F7">
              <w:rPr>
                <w:rFonts w:ascii="Calibri" w:hAnsi="Calibri"/>
                <w:bCs/>
                <w:sz w:val="18"/>
                <w:szCs w:val="18"/>
              </w:rPr>
              <w:t>100,01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sz w:val="18"/>
                <w:szCs w:val="18"/>
              </w:rPr>
            </w:pPr>
            <w:r w:rsidRPr="004828F7">
              <w:rPr>
                <w:rFonts w:ascii="Calibri" w:hAnsi="Calibri"/>
                <w:bCs/>
                <w:sz w:val="18"/>
                <w:szCs w:val="18"/>
              </w:rPr>
              <w:t>622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Губици по основу престанка признавања финансијских средстава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sz w:val="18"/>
                <w:szCs w:val="18"/>
              </w:rPr>
            </w:pP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204.474,65</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color w:val="FF0000"/>
                <w:sz w:val="18"/>
                <w:szCs w:val="18"/>
              </w:rPr>
            </w:pPr>
            <w:r w:rsidRPr="004828F7">
              <w:rPr>
                <w:rFonts w:ascii="Calibri" w:hAnsi="Calibri"/>
                <w:bCs/>
                <w:color w:val="FF0000"/>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Расходи резервисања за остала лична примања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sz w:val="18"/>
                <w:szCs w:val="18"/>
              </w:rPr>
            </w:pPr>
            <w:r w:rsidRPr="004828F7">
              <w:rPr>
                <w:rFonts w:ascii="Calibri" w:hAnsi="Calibri"/>
                <w:bCs/>
                <w:sz w:val="18"/>
                <w:szCs w:val="18"/>
              </w:rPr>
              <w:t>25.000,00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131220" w:rsidP="004828F7">
            <w:pPr>
              <w:jc w:val="right"/>
              <w:rPr>
                <w:rFonts w:ascii="Calibri" w:hAnsi="Calibri"/>
                <w:bCs/>
                <w:color w:val="auto"/>
                <w:sz w:val="18"/>
                <w:szCs w:val="18"/>
              </w:rPr>
            </w:pPr>
            <w:r>
              <w:rPr>
                <w:rFonts w:ascii="Calibri" w:hAnsi="Calibri"/>
                <w:bCs/>
                <w:color w:val="auto"/>
                <w:sz w:val="18"/>
                <w:szCs w:val="18"/>
                <w:lang w:val="sr-Cyrl-RS"/>
              </w:rPr>
              <w:t>0,00</w:t>
            </w:r>
            <w:r w:rsidR="004828F7" w:rsidRPr="004828F7">
              <w:rPr>
                <w:rFonts w:ascii="Calibri" w:hAnsi="Calibri"/>
                <w:bCs/>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color w:val="auto"/>
                <w:sz w:val="18"/>
                <w:szCs w:val="18"/>
              </w:rPr>
            </w:pPr>
            <w:r w:rsidRPr="004828F7">
              <w:rPr>
                <w:rFonts w:ascii="Calibri" w:hAnsi="Calibri"/>
                <w:bCs/>
                <w:color w:val="auto"/>
                <w:sz w:val="18"/>
                <w:szCs w:val="18"/>
              </w:rPr>
              <w:t>6332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Губици по основу продаје средстава намијењених продаји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131220" w:rsidP="004828F7">
            <w:pPr>
              <w:jc w:val="right"/>
              <w:rPr>
                <w:rFonts w:ascii="Calibri" w:hAnsi="Calibri"/>
                <w:bCs/>
                <w:sz w:val="18"/>
                <w:szCs w:val="18"/>
              </w:rPr>
            </w:pPr>
            <w:r>
              <w:rPr>
                <w:rFonts w:ascii="Calibri" w:hAnsi="Calibri"/>
                <w:bCs/>
                <w:sz w:val="18"/>
                <w:szCs w:val="18"/>
                <w:lang w:val="sr-Cyrl-RS"/>
              </w:rPr>
              <w:t>0,00</w:t>
            </w:r>
            <w:r w:rsidR="004828F7"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53.725,33</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color w:val="auto"/>
                <w:sz w:val="18"/>
                <w:szCs w:val="18"/>
              </w:rPr>
            </w:pPr>
            <w:r w:rsidRPr="004828F7">
              <w:rPr>
                <w:rFonts w:ascii="Calibri" w:hAnsi="Calibri"/>
                <w:bCs/>
                <w:color w:val="auto"/>
                <w:sz w:val="18"/>
                <w:szCs w:val="18"/>
              </w:rPr>
              <w:t>6402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 xml:space="preserve">Расходи индиректних отписа пласмана </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131220" w:rsidP="004828F7">
            <w:pPr>
              <w:jc w:val="right"/>
              <w:rPr>
                <w:rFonts w:ascii="Calibri" w:hAnsi="Calibri"/>
                <w:bCs/>
                <w:sz w:val="18"/>
                <w:szCs w:val="18"/>
              </w:rPr>
            </w:pPr>
            <w:r>
              <w:rPr>
                <w:rFonts w:ascii="Calibri" w:hAnsi="Calibri"/>
                <w:bCs/>
                <w:sz w:val="18"/>
                <w:szCs w:val="18"/>
                <w:lang w:val="sr-Cyrl-RS"/>
              </w:rPr>
              <w:t>0,00</w:t>
            </w:r>
            <w:r w:rsidR="004828F7"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178.723,98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color w:val="auto"/>
                <w:sz w:val="18"/>
                <w:szCs w:val="18"/>
              </w:rPr>
            </w:pPr>
            <w:r w:rsidRPr="004828F7">
              <w:rPr>
                <w:rFonts w:ascii="Calibri" w:hAnsi="Calibri"/>
                <w:bCs/>
                <w:color w:val="auto"/>
                <w:sz w:val="18"/>
                <w:szCs w:val="18"/>
              </w:rPr>
              <w:t>6410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Расходи резервисања по ванбилансној активи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bCs/>
                <w:sz w:val="18"/>
                <w:szCs w:val="18"/>
              </w:rPr>
            </w:pPr>
            <w:r w:rsidRPr="004828F7">
              <w:rPr>
                <w:rFonts w:ascii="Calibri" w:hAnsi="Calibri"/>
                <w:bCs/>
                <w:sz w:val="18"/>
                <w:szCs w:val="18"/>
              </w:rPr>
              <w:t>200.000,00</w:t>
            </w:r>
          </w:p>
        </w:tc>
        <w:tc>
          <w:tcPr>
            <w:tcW w:w="1560" w:type="dxa"/>
            <w:tcBorders>
              <w:top w:val="nil"/>
              <w:left w:val="nil"/>
              <w:bottom w:val="nil"/>
              <w:right w:val="single" w:sz="4" w:space="0" w:color="auto"/>
            </w:tcBorders>
            <w:shd w:val="clear" w:color="auto" w:fill="auto"/>
            <w:noWrap/>
            <w:vAlign w:val="center"/>
            <w:hideMark/>
          </w:tcPr>
          <w:p w:rsidR="004828F7" w:rsidRPr="004828F7" w:rsidRDefault="004828F7" w:rsidP="004828F7">
            <w:pPr>
              <w:jc w:val="right"/>
              <w:rPr>
                <w:rFonts w:ascii="Calibri" w:hAnsi="Calibri"/>
                <w:bCs/>
                <w:color w:val="auto"/>
                <w:sz w:val="18"/>
                <w:szCs w:val="18"/>
              </w:rPr>
            </w:pPr>
            <w:r w:rsidRPr="004828F7">
              <w:rPr>
                <w:rFonts w:ascii="Calibri" w:hAnsi="Calibri"/>
                <w:bCs/>
                <w:color w:val="auto"/>
                <w:sz w:val="18"/>
                <w:szCs w:val="18"/>
              </w:rPr>
              <w:t>360.288,35</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bCs/>
                <w:sz w:val="18"/>
                <w:szCs w:val="18"/>
              </w:rPr>
            </w:pPr>
            <w:r w:rsidRPr="004828F7">
              <w:rPr>
                <w:rFonts w:ascii="Calibri" w:hAnsi="Calibri"/>
                <w:bCs/>
                <w:sz w:val="18"/>
                <w:szCs w:val="18"/>
              </w:rPr>
              <w:t>180,14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131220">
            <w:pPr>
              <w:jc w:val="left"/>
              <w:rPr>
                <w:rFonts w:ascii="Calibri" w:hAnsi="Calibri"/>
                <w:b/>
                <w:bCs/>
                <w:sz w:val="18"/>
                <w:szCs w:val="18"/>
              </w:rPr>
            </w:pPr>
            <w:r w:rsidRPr="004828F7">
              <w:rPr>
                <w:rFonts w:ascii="Calibri" w:hAnsi="Calibri"/>
                <w:b/>
                <w:bCs/>
                <w:sz w:val="18"/>
                <w:szCs w:val="18"/>
              </w:rPr>
              <w:t>650</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 xml:space="preserve">Трошкови зарада </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920.000,00</w:t>
            </w:r>
          </w:p>
        </w:tc>
        <w:tc>
          <w:tcPr>
            <w:tcW w:w="1560" w:type="dxa"/>
            <w:tcBorders>
              <w:top w:val="single" w:sz="4" w:space="0" w:color="auto"/>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773.116,23</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84,03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6500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зарада запослених</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851.195,00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687.631,99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80,78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6501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131220" w:rsidP="00131220">
            <w:pPr>
              <w:jc w:val="left"/>
              <w:rPr>
                <w:rFonts w:ascii="Calibri" w:hAnsi="Calibri"/>
                <w:sz w:val="18"/>
                <w:szCs w:val="18"/>
              </w:rPr>
            </w:pPr>
            <w:r>
              <w:rPr>
                <w:rFonts w:ascii="Calibri" w:hAnsi="Calibri"/>
                <w:sz w:val="18"/>
                <w:szCs w:val="18"/>
              </w:rPr>
              <w:t xml:space="preserve">Трошкови </w:t>
            </w:r>
            <w:r>
              <w:rPr>
                <w:rFonts w:ascii="Calibri" w:hAnsi="Calibri"/>
                <w:sz w:val="18"/>
                <w:szCs w:val="18"/>
                <w:lang w:val="sr-Cyrl-RS"/>
              </w:rPr>
              <w:t>зарада</w:t>
            </w:r>
            <w:r w:rsidR="004828F7" w:rsidRPr="004828F7">
              <w:rPr>
                <w:rFonts w:ascii="Calibri" w:hAnsi="Calibri"/>
                <w:sz w:val="18"/>
                <w:szCs w:val="18"/>
              </w:rPr>
              <w:t xml:space="preserve"> – Надзорни одбор</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36.000,00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6503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зарада – Одбор за ревизију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12.960,00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12.960,00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6504</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зарада – директор интерне ревизије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5.760,00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5.760,00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6505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Европског добровољног пензијског фонда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14.085,00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10.380,00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73,70</w:t>
            </w:r>
          </w:p>
        </w:tc>
      </w:tr>
      <w:tr w:rsidR="004828F7" w:rsidRPr="004828F7" w:rsidTr="004828F7">
        <w:trPr>
          <w:trHeight w:val="2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6507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131220">
            <w:pPr>
              <w:jc w:val="left"/>
              <w:rPr>
                <w:rFonts w:ascii="Calibri" w:hAnsi="Calibri"/>
                <w:sz w:val="18"/>
                <w:szCs w:val="18"/>
              </w:rPr>
            </w:pPr>
            <w:r w:rsidRPr="004828F7">
              <w:rPr>
                <w:rFonts w:ascii="Calibri" w:hAnsi="Calibri"/>
                <w:sz w:val="18"/>
                <w:szCs w:val="18"/>
              </w:rPr>
              <w:t xml:space="preserve">Трошкови </w:t>
            </w:r>
            <w:r w:rsidR="00131220">
              <w:rPr>
                <w:rFonts w:ascii="Calibri" w:hAnsi="Calibri"/>
                <w:sz w:val="18"/>
                <w:szCs w:val="18"/>
                <w:lang w:val="sr-Cyrl-RS"/>
              </w:rPr>
              <w:t>зарад</w:t>
            </w:r>
            <w:r w:rsidRPr="004828F7">
              <w:rPr>
                <w:rFonts w:ascii="Calibri" w:hAnsi="Calibri"/>
                <w:sz w:val="18"/>
                <w:szCs w:val="18"/>
              </w:rPr>
              <w:t>а – Уговор ван радног односа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131220" w:rsidP="004828F7">
            <w:pPr>
              <w:jc w:val="right"/>
              <w:rPr>
                <w:rFonts w:ascii="Calibri" w:hAnsi="Calibri"/>
                <w:sz w:val="18"/>
                <w:szCs w:val="18"/>
              </w:rPr>
            </w:pPr>
            <w:r>
              <w:rPr>
                <w:rFonts w:ascii="Calibri" w:hAnsi="Calibri"/>
                <w:sz w:val="18"/>
                <w:szCs w:val="18"/>
                <w:lang w:val="sr-Cyrl-RS"/>
              </w:rPr>
              <w:t>0,00</w:t>
            </w:r>
            <w:r w:rsidR="004828F7"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20.384,24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651</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накнада зарада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77.000,00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73.239,47</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95,12</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Накнада топли оброк</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51.500,00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48.515,81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94,21</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6511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накнада – регрес за годишњи одмор</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25.500,00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24.723,66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96,96</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652</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пореза на зараде и накнада зарада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120.635,00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88.546,22</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73,40</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за зараде и накнаде зарада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93.553,00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59.979,14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64,11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за топли оброк</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6.900,00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6.362,89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92,22</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bCs/>
                <w:sz w:val="18"/>
                <w:szCs w:val="18"/>
              </w:rPr>
            </w:pPr>
            <w:r w:rsidRPr="004828F7">
              <w:rPr>
                <w:rFonts w:ascii="Calibri" w:hAnsi="Calibri"/>
                <w:bCs/>
                <w:sz w:val="18"/>
                <w:szCs w:val="18"/>
              </w:rPr>
              <w:t>65212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на зараде и накнаде зарада –ауторски рад</w:t>
            </w:r>
          </w:p>
        </w:tc>
        <w:tc>
          <w:tcPr>
            <w:tcW w:w="1417"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1.100,00</w:t>
            </w:r>
          </w:p>
        </w:tc>
        <w:tc>
          <w:tcPr>
            <w:tcW w:w="1560"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520,00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47,27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65213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Уговор ван раног односа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131220" w:rsidP="004828F7">
            <w:pPr>
              <w:jc w:val="right"/>
              <w:rPr>
                <w:rFonts w:ascii="Calibri" w:hAnsi="Calibri"/>
                <w:sz w:val="18"/>
                <w:szCs w:val="18"/>
              </w:rPr>
            </w:pPr>
            <w:r>
              <w:rPr>
                <w:rFonts w:ascii="Calibri" w:hAnsi="Calibri"/>
                <w:sz w:val="18"/>
                <w:szCs w:val="18"/>
                <w:lang w:val="sr-Cyrl-RS"/>
              </w:rPr>
              <w:t>0,00</w:t>
            </w:r>
            <w:r w:rsidR="004828F7"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3.045,92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за накнаде Надзорни одбор</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5.500,00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5.379,60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97,81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по пореској картици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2.500,00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2.581,44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103,26</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на зараде и накнаде зарада –регрес</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3.450,00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3.242,46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93,98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6526</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на зараде и нак. зарада – Одбор за ревизију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2.200,00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1.936,44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88,02</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пореза на зараде и нак.зарада дир.интерне ревизије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lang w:val="sr-Cyrl-RS"/>
              </w:rPr>
            </w:pPr>
            <w:r w:rsidRPr="004828F7">
              <w:rPr>
                <w:rFonts w:ascii="Calibri" w:hAnsi="Calibri"/>
                <w:sz w:val="18"/>
                <w:szCs w:val="18"/>
              </w:rPr>
              <w:t>1</w:t>
            </w:r>
            <w:r w:rsidR="00131220">
              <w:rPr>
                <w:rFonts w:ascii="Calibri" w:hAnsi="Calibri"/>
                <w:sz w:val="18"/>
                <w:szCs w:val="18"/>
                <w:lang w:val="sr-Cyrl-RS"/>
              </w:rPr>
              <w:t>.</w:t>
            </w:r>
            <w:r w:rsidRPr="004828F7">
              <w:rPr>
                <w:rFonts w:ascii="Calibri" w:hAnsi="Calibri"/>
                <w:sz w:val="18"/>
                <w:szCs w:val="18"/>
              </w:rPr>
              <w:t>000</w:t>
            </w:r>
            <w:r w:rsidR="00131220">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860,64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86,06</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6529</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131220" w:rsidP="004828F7">
            <w:pPr>
              <w:jc w:val="left"/>
              <w:rPr>
                <w:rFonts w:ascii="Calibri" w:hAnsi="Calibri"/>
                <w:sz w:val="18"/>
                <w:szCs w:val="18"/>
              </w:rPr>
            </w:pPr>
            <w:r>
              <w:rPr>
                <w:rFonts w:ascii="Calibri" w:hAnsi="Calibri"/>
                <w:sz w:val="18"/>
                <w:szCs w:val="18"/>
              </w:rPr>
              <w:t>Tрошкови пореза на зараде и нак</w:t>
            </w:r>
            <w:r>
              <w:rPr>
                <w:rFonts w:ascii="Calibri" w:hAnsi="Calibri"/>
                <w:sz w:val="18"/>
                <w:szCs w:val="18"/>
                <w:lang w:val="sr-Cyrl-RS"/>
              </w:rPr>
              <w:t xml:space="preserve">наде </w:t>
            </w:r>
            <w:r w:rsidR="004828F7" w:rsidRPr="004828F7">
              <w:rPr>
                <w:rFonts w:ascii="Calibri" w:hAnsi="Calibri"/>
                <w:sz w:val="18"/>
                <w:szCs w:val="18"/>
              </w:rPr>
              <w:t>зарада –порез уговор о дјелу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4.432,00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4.637,69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104,64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653</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доприноса на зараде и накнаде зарада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512.318,00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425.081,85</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82,97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накнаде зарада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435.228,00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337.042,75</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77,44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за топли оброк</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26.472,00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24.657,14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93,14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65312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накнаде зарада – ауторски рад</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1.480,00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49,33</w:t>
            </w:r>
          </w:p>
        </w:tc>
      </w:tr>
      <w:tr w:rsidR="004828F7" w:rsidRPr="004828F7" w:rsidTr="004828F7">
        <w:trPr>
          <w:trHeight w:val="690"/>
        </w:trPr>
        <w:tc>
          <w:tcPr>
            <w:tcW w:w="85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Конто</w:t>
            </w:r>
          </w:p>
        </w:tc>
        <w:tc>
          <w:tcPr>
            <w:tcW w:w="3969"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Назив</w:t>
            </w:r>
          </w:p>
        </w:tc>
        <w:tc>
          <w:tcPr>
            <w:tcW w:w="141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Планирано у 2024. години</w:t>
            </w:r>
          </w:p>
        </w:tc>
        <w:tc>
          <w:tcPr>
            <w:tcW w:w="15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Остварено у 2024. години</w:t>
            </w:r>
          </w:p>
        </w:tc>
        <w:tc>
          <w:tcPr>
            <w:tcW w:w="992"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Индекс</w:t>
            </w:r>
          </w:p>
        </w:tc>
      </w:tr>
      <w:tr w:rsidR="004828F7" w:rsidRPr="004828F7" w:rsidTr="004828F7">
        <w:trPr>
          <w:trHeight w:val="24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накнаде зарада- Уговор ван радног односа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10.526,59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накнаде Надзорни одбор</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18.591,00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18.591,00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накнаде – бенефицирани  радни стаж</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2.455,51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81,85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6536</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накнаде-регрес</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12.959,00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12.564,24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96,95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нак.де зарада – Одбор за ревизију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6.693,00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6.692,40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99,99</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6538</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накнаде   - директор инт. Ревизије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2.974,56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99,15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65391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доприноса на зараде и накнаде зараде – уговор о дјелу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3.375,00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8.097,66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239,93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654</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накнада за привремене и повремене послове</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22.000,00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37.036,01</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168,35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6540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накнада за привремене и повремене послове-Уговор о дјелу нето</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31.036,01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238,74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6542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Обавезе по основу ауторског рада – Нето</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9.000,00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6.000,00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66,67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color w:val="auto"/>
                <w:sz w:val="18"/>
                <w:szCs w:val="18"/>
              </w:rPr>
            </w:pPr>
            <w:r w:rsidRPr="004828F7">
              <w:rPr>
                <w:rFonts w:ascii="Calibri" w:hAnsi="Calibri"/>
                <w:b/>
                <w:bCs/>
                <w:color w:val="auto"/>
                <w:sz w:val="18"/>
                <w:szCs w:val="18"/>
              </w:rPr>
              <w:t>655</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color w:val="auto"/>
                <w:sz w:val="18"/>
                <w:szCs w:val="18"/>
              </w:rPr>
            </w:pPr>
            <w:r w:rsidRPr="004828F7">
              <w:rPr>
                <w:rFonts w:ascii="Calibri" w:hAnsi="Calibri"/>
                <w:b/>
                <w:bCs/>
                <w:color w:val="auto"/>
                <w:sz w:val="18"/>
                <w:szCs w:val="18"/>
              </w:rPr>
              <w:t>Остали лични расходи</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97.500,00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50.077,73</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51,36</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превоза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22.845,84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87,87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отпремнине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9.500,00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8.554,95</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90,05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дневница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1.918,92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31,98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смјештаја и хране на службеном путу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4.962,82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31,02</w:t>
            </w:r>
          </w:p>
        </w:tc>
      </w:tr>
      <w:tr w:rsidR="004828F7" w:rsidRPr="004828F7" w:rsidTr="004828F7">
        <w:trPr>
          <w:trHeight w:val="2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6554</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превоза на службеном путу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B8692C" w:rsidP="004828F7">
            <w:pPr>
              <w:jc w:val="right"/>
              <w:rPr>
                <w:rFonts w:ascii="Calibri" w:hAnsi="Calibri"/>
                <w:color w:val="auto"/>
                <w:sz w:val="18"/>
                <w:szCs w:val="18"/>
              </w:rPr>
            </w:pPr>
            <w:r>
              <w:rPr>
                <w:rFonts w:ascii="Calibri" w:hAnsi="Calibri"/>
                <w:color w:val="auto"/>
                <w:sz w:val="18"/>
                <w:szCs w:val="18"/>
                <w:lang w:val="sr-Cyrl-RS"/>
              </w:rPr>
              <w:t>0,00</w:t>
            </w:r>
            <w:r w:rsidR="004828F7" w:rsidRPr="004828F7">
              <w:rPr>
                <w:rFonts w:ascii="Calibri" w:hAnsi="Calibri"/>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0,00</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6556</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путарине на службеном путу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1.200,00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874,69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72,89</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горива службеног аутомобила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9.679,00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60,49</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6558</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Исплате радницима по основу Општег колективног уговора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17.600,00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B8692C" w:rsidP="004828F7">
            <w:pPr>
              <w:jc w:val="right"/>
              <w:rPr>
                <w:rFonts w:ascii="Calibri" w:hAnsi="Calibri"/>
                <w:color w:val="auto"/>
                <w:sz w:val="18"/>
                <w:szCs w:val="18"/>
              </w:rPr>
            </w:pPr>
            <w:r>
              <w:rPr>
                <w:rFonts w:ascii="Calibri" w:hAnsi="Calibri"/>
                <w:color w:val="auto"/>
                <w:sz w:val="18"/>
                <w:szCs w:val="18"/>
                <w:lang w:val="sr-Cyrl-RS"/>
              </w:rPr>
              <w:t>0,00</w:t>
            </w:r>
            <w:r w:rsidR="004828F7" w:rsidRPr="004828F7">
              <w:rPr>
                <w:rFonts w:ascii="Calibri" w:hAnsi="Calibri"/>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6559</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паркинга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1.200,00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1.241,51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103,46</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660</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материјала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9.350,00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6.309,82</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67,48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6601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канцеларијског материјала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7.550,00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4.872,04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64,53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6603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осталог материјала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1.800,00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1.437,78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79,88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661</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производних услуга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75.000,00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54.349,20</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72,47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производних услуга – услуге одржавања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7.582,18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22,98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6611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производних услуга -  одржавање softvera</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42.000,00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46.767,02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111,35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662</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амортизације</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51.000,00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40.909,08</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80,21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6620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амортизације основних средстава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40.400,00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29.865,39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73,92</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6621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амортизације нематеријалне имовине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8.600,00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7.812,33</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90,84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6620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амортизације – улагање у туђе некретнине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3.231,36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161,57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664</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Нематеријални трошкови (без пореза и доприноса)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169.000,00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188.215,18</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111,37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конкурса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7</w:t>
            </w:r>
            <w:r w:rsidR="000600A0">
              <w:rPr>
                <w:rFonts w:ascii="Calibri" w:hAnsi="Calibri"/>
                <w:color w:val="auto"/>
                <w:sz w:val="18"/>
                <w:szCs w:val="18"/>
                <w:lang w:val="sr-Cyrl-RS"/>
              </w:rPr>
              <w:t>.</w:t>
            </w:r>
            <w:r w:rsidRPr="004828F7">
              <w:rPr>
                <w:rFonts w:ascii="Calibri" w:hAnsi="Calibri"/>
                <w:color w:val="auto"/>
                <w:sz w:val="18"/>
                <w:szCs w:val="18"/>
              </w:rPr>
              <w:t>070,31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707,03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стручне литературе – часописи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1.200,00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683,00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56,92</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 услуге одржавања (осиг.и видео надзор)</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1.420,90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71,05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 комуналне услуге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359,17</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89,79</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66416</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Тршкови провизија за упис обвезница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140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ревизије финансијских извјештаја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7.000,00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6.903,00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98,61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66419</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трошкови-стручно усавршавање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1563,4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нотарских услуга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1200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756,41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63,03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66421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 брокерске услуге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420,3</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14,01</w:t>
            </w:r>
          </w:p>
        </w:tc>
      </w:tr>
      <w:tr w:rsidR="004828F7" w:rsidRPr="004828F7" w:rsidTr="00131220">
        <w:trPr>
          <w:trHeight w:val="690"/>
        </w:trPr>
        <w:tc>
          <w:tcPr>
            <w:tcW w:w="85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Конто</w:t>
            </w:r>
          </w:p>
        </w:tc>
        <w:tc>
          <w:tcPr>
            <w:tcW w:w="3969"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Назив</w:t>
            </w:r>
          </w:p>
        </w:tc>
        <w:tc>
          <w:tcPr>
            <w:tcW w:w="141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Планирано у 2024. години</w:t>
            </w:r>
          </w:p>
        </w:tc>
        <w:tc>
          <w:tcPr>
            <w:tcW w:w="15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Остварено у 2024. години</w:t>
            </w:r>
          </w:p>
        </w:tc>
        <w:tc>
          <w:tcPr>
            <w:tcW w:w="992"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131220">
            <w:pPr>
              <w:jc w:val="center"/>
              <w:rPr>
                <w:rFonts w:ascii="Calibri" w:hAnsi="Calibri"/>
                <w:b/>
                <w:bCs/>
                <w:sz w:val="18"/>
                <w:szCs w:val="18"/>
              </w:rPr>
            </w:pPr>
            <w:r w:rsidRPr="004828F7">
              <w:rPr>
                <w:rFonts w:ascii="Calibri" w:hAnsi="Calibri"/>
                <w:b/>
                <w:bCs/>
                <w:sz w:val="18"/>
                <w:szCs w:val="18"/>
              </w:rPr>
              <w:t>Индекс</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66423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трошкови-систематски преглед запослених</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5.942,50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118,85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66424</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 накнада за приступ ЦРК</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B8692C" w:rsidRDefault="004828F7" w:rsidP="004828F7">
            <w:pPr>
              <w:jc w:val="right"/>
              <w:rPr>
                <w:rFonts w:ascii="Calibri" w:hAnsi="Calibri"/>
                <w:sz w:val="18"/>
                <w:szCs w:val="18"/>
                <w:lang w:val="sr-Cyrl-RS"/>
              </w:rPr>
            </w:pPr>
            <w:r w:rsidRPr="004828F7">
              <w:rPr>
                <w:rFonts w:ascii="Calibri" w:hAnsi="Calibri"/>
                <w:sz w:val="18"/>
                <w:szCs w:val="18"/>
              </w:rPr>
              <w:t>200</w:t>
            </w:r>
            <w:r w:rsidR="00B8692C">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lang w:val="sr-Cyrl-RS"/>
              </w:rPr>
            </w:pPr>
            <w:r w:rsidRPr="004828F7">
              <w:rPr>
                <w:rFonts w:ascii="Calibri" w:hAnsi="Calibri"/>
                <w:color w:val="auto"/>
                <w:sz w:val="18"/>
                <w:szCs w:val="18"/>
              </w:rPr>
              <w:t>0</w:t>
            </w:r>
            <w:r>
              <w:rPr>
                <w:rFonts w:ascii="Calibri" w:hAnsi="Calibri"/>
                <w:color w:val="auto"/>
                <w:sz w:val="18"/>
                <w:szCs w:val="18"/>
                <w:lang w:val="sr-Cyrl-RS"/>
              </w:rPr>
              <w:t>,00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66425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 чланарина AECM</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29.600,00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30.417,32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102,76</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66427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Нематеријални трошкови -АПИФ</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B8692C" w:rsidRDefault="004828F7" w:rsidP="004828F7">
            <w:pPr>
              <w:jc w:val="right"/>
              <w:rPr>
                <w:rFonts w:ascii="Calibri" w:hAnsi="Calibri"/>
                <w:sz w:val="18"/>
                <w:szCs w:val="18"/>
                <w:lang w:val="sr-Cyrl-RS"/>
              </w:rPr>
            </w:pPr>
            <w:r w:rsidRPr="004828F7">
              <w:rPr>
                <w:rFonts w:ascii="Calibri" w:hAnsi="Calibri"/>
                <w:sz w:val="18"/>
                <w:szCs w:val="18"/>
              </w:rPr>
              <w:t>200</w:t>
            </w:r>
            <w:r w:rsidR="00B8692C">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215,4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107,70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66430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 конференцијски и округли столови  ГФ по протоколу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6.844,50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1140,75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премије осигурања радника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B8692C" w:rsidRDefault="004828F7" w:rsidP="004828F7">
            <w:pPr>
              <w:jc w:val="right"/>
              <w:rPr>
                <w:rFonts w:ascii="Calibri" w:hAnsi="Calibri"/>
                <w:sz w:val="18"/>
                <w:szCs w:val="18"/>
                <w:lang w:val="sr-Cyrl-RS"/>
              </w:rPr>
            </w:pPr>
            <w:r w:rsidRPr="004828F7">
              <w:rPr>
                <w:rFonts w:ascii="Calibri" w:hAnsi="Calibri"/>
                <w:sz w:val="18"/>
                <w:szCs w:val="18"/>
              </w:rPr>
              <w:t>900</w:t>
            </w:r>
            <w:r w:rsidR="00B8692C">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1.394,09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154,90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66432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Нематеријални трошкови- адвокатске услуге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60.000,00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80.715,96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134,53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66434</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Нематеријални трошак (трошак предаје годишњег обрачуна)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140,00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130,00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92,86</w:t>
            </w:r>
          </w:p>
        </w:tc>
      </w:tr>
      <w:tr w:rsidR="004828F7" w:rsidRPr="004828F7" w:rsidTr="004828F7">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66437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Нематеријали трошкови - уништавање документације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B8692C" w:rsidP="004828F7">
            <w:pPr>
              <w:jc w:val="right"/>
              <w:rPr>
                <w:rFonts w:ascii="Calibri" w:hAnsi="Calibri"/>
                <w:sz w:val="18"/>
                <w:szCs w:val="18"/>
              </w:rPr>
            </w:pPr>
            <w:r>
              <w:rPr>
                <w:rFonts w:ascii="Calibri" w:hAnsi="Calibri"/>
                <w:sz w:val="18"/>
                <w:szCs w:val="18"/>
                <w:lang w:val="sr-Cyrl-RS"/>
              </w:rPr>
              <w:t>0,00</w:t>
            </w:r>
            <w:r w:rsidR="004828F7"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118,76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6644</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ПТТ услуга у земљи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11.060,00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14.975,64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135,40</w:t>
            </w:r>
          </w:p>
        </w:tc>
      </w:tr>
      <w:tr w:rsidR="004828F7" w:rsidRPr="004828F7" w:rsidTr="004828F7">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66445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Трошкови поклона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2.300,00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w:t>
            </w:r>
            <w:r w:rsidR="00714BA7">
              <w:rPr>
                <w:rFonts w:ascii="Calibri" w:hAnsi="Calibri"/>
                <w:color w:val="auto"/>
                <w:sz w:val="18"/>
                <w:szCs w:val="18"/>
              </w:rPr>
              <w:t>.</w:t>
            </w:r>
            <w:r w:rsidRPr="004828F7">
              <w:rPr>
                <w:rFonts w:ascii="Calibri" w:hAnsi="Calibri"/>
                <w:color w:val="auto"/>
                <w:sz w:val="18"/>
                <w:szCs w:val="18"/>
              </w:rPr>
              <w:t>380,79</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103,51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семинара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7.000,00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4.757,32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67,96</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платног промета - у домаћој валути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4.200,00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B8692C" w:rsidP="004828F7">
            <w:pPr>
              <w:jc w:val="right"/>
              <w:rPr>
                <w:rFonts w:ascii="Calibri" w:hAnsi="Calibri"/>
                <w:color w:val="auto"/>
                <w:sz w:val="18"/>
                <w:szCs w:val="18"/>
              </w:rPr>
            </w:pPr>
            <w:r>
              <w:rPr>
                <w:rFonts w:ascii="Calibri" w:hAnsi="Calibri"/>
                <w:color w:val="auto"/>
                <w:sz w:val="18"/>
                <w:szCs w:val="18"/>
                <w:lang w:val="sr-Cyrl-RS"/>
              </w:rPr>
              <w:t>0,00</w:t>
            </w:r>
            <w:r w:rsidR="004828F7" w:rsidRPr="004828F7">
              <w:rPr>
                <w:rFonts w:ascii="Calibri" w:hAnsi="Calibri"/>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6648</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ПТТ услуга преносне пошиљке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1.663,42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83,17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66482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Трошкови увођења ИСО 9001, и ИСО 14001</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10.000,00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665</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Трошкови по основу пореза и доприноса</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330,00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251,63</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76,25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6650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водног доприноса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330,00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251,63</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76,25</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669</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Остали трошкови</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123.000,00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97.431,88</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79,21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Остали трошкови - трошкови закупа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57.000,00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56.567,98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99,24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669010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регистрације путничког возила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2.525,23</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84,17</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669011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одржавања путничког возила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6.630,00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3.977,64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59,99</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669013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Остали ванредни расходи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B8692C" w:rsidP="004828F7">
            <w:pPr>
              <w:jc w:val="right"/>
              <w:rPr>
                <w:rFonts w:ascii="Calibri" w:hAnsi="Calibri"/>
                <w:sz w:val="18"/>
                <w:szCs w:val="18"/>
              </w:rPr>
            </w:pPr>
            <w:r>
              <w:rPr>
                <w:rFonts w:ascii="Calibri" w:hAnsi="Calibri"/>
                <w:sz w:val="18"/>
                <w:szCs w:val="18"/>
                <w:lang w:val="sr-Cyrl-RS"/>
              </w:rPr>
              <w:t>0,00</w:t>
            </w:r>
            <w:r w:rsidR="004828F7"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4,28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такса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35.000,00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5.696,74</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16,28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Остали трошкови – новогодишњи пакетићи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1.000,00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1.280,00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128,00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66904</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 xml:space="preserve">Остали трошкови-остале исплате </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66905</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рекламе и пропаганде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21.235,51</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424,71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color w:val="auto"/>
                <w:sz w:val="18"/>
                <w:szCs w:val="18"/>
              </w:rPr>
            </w:pPr>
            <w:r w:rsidRPr="004828F7">
              <w:rPr>
                <w:rFonts w:ascii="Calibri" w:hAnsi="Calibri"/>
                <w:color w:val="auto"/>
                <w:sz w:val="18"/>
                <w:szCs w:val="18"/>
              </w:rPr>
              <w:t>66906</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Остали трошкови - трошкови гријања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5.000,00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66907</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 утрошена електрична енергија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4.024,66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67,08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66908</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накнада за шуме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B8692C" w:rsidRDefault="004828F7" w:rsidP="004828F7">
            <w:pPr>
              <w:jc w:val="right"/>
              <w:rPr>
                <w:rFonts w:ascii="Calibri" w:hAnsi="Calibri"/>
                <w:sz w:val="18"/>
                <w:szCs w:val="18"/>
                <w:lang w:val="sr-Cyrl-RS"/>
              </w:rPr>
            </w:pPr>
            <w:r w:rsidRPr="004828F7">
              <w:rPr>
                <w:rFonts w:ascii="Calibri" w:hAnsi="Calibri"/>
                <w:sz w:val="18"/>
                <w:szCs w:val="18"/>
              </w:rPr>
              <w:t>650</w:t>
            </w:r>
            <w:r w:rsidR="00B8692C">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1169,26</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179,89</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66909</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Трошкови противпожарне накнаде по годишњем обрачуну</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B8692C" w:rsidRDefault="004828F7" w:rsidP="004828F7">
            <w:pPr>
              <w:jc w:val="right"/>
              <w:rPr>
                <w:rFonts w:ascii="Calibri" w:hAnsi="Calibri"/>
                <w:sz w:val="18"/>
                <w:szCs w:val="18"/>
                <w:lang w:val="sr-Cyrl-RS"/>
              </w:rPr>
            </w:pPr>
            <w:r w:rsidRPr="004828F7">
              <w:rPr>
                <w:rFonts w:ascii="Calibri" w:hAnsi="Calibri"/>
                <w:sz w:val="18"/>
                <w:szCs w:val="18"/>
              </w:rPr>
              <w:t>220</w:t>
            </w:r>
            <w:r w:rsidR="00B8692C">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500,58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227,54</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66916</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Остали трошкови - Донације</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3.500,00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400,00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11,43</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67</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Остали расходи</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13.000,00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946,50</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7,28</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6701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Расходи по основу отписа премије за ризик</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6.000,00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67102</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Губици по основу отписа основних средстава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B8692C" w:rsidP="004828F7">
            <w:pPr>
              <w:jc w:val="right"/>
              <w:rPr>
                <w:rFonts w:ascii="Calibri" w:hAnsi="Calibri"/>
                <w:sz w:val="18"/>
                <w:szCs w:val="18"/>
              </w:rPr>
            </w:pPr>
            <w:r>
              <w:rPr>
                <w:rFonts w:ascii="Calibri" w:hAnsi="Calibri"/>
                <w:sz w:val="18"/>
                <w:szCs w:val="18"/>
                <w:lang w:val="sr-Cyrl-RS"/>
              </w:rPr>
              <w:t>0,00</w:t>
            </w:r>
            <w:r w:rsidR="004828F7"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769,98</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6720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Ауто гуме у употреби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0,00</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67901</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Остали расходи</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4.000,00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176,52</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4,41</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67903</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Исправка грешака из ранијих година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169,65</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680</w:t>
            </w:r>
          </w:p>
        </w:tc>
        <w:tc>
          <w:tcPr>
            <w:tcW w:w="3969" w:type="dxa"/>
            <w:tcBorders>
              <w:top w:val="nil"/>
              <w:left w:val="nil"/>
              <w:bottom w:val="single" w:sz="4" w:space="0" w:color="auto"/>
              <w:right w:val="single" w:sz="4" w:space="0" w:color="auto"/>
            </w:tcBorders>
            <w:shd w:val="clear" w:color="000000" w:fill="C5D9F1"/>
            <w:vAlign w:val="center"/>
            <w:hideMark/>
          </w:tcPr>
          <w:p w:rsidR="004828F7" w:rsidRPr="004828F7" w:rsidRDefault="004828F7" w:rsidP="004828F7">
            <w:pPr>
              <w:jc w:val="left"/>
              <w:rPr>
                <w:rFonts w:ascii="Calibri" w:hAnsi="Calibri"/>
                <w:b/>
                <w:bCs/>
                <w:sz w:val="18"/>
                <w:szCs w:val="18"/>
              </w:rPr>
            </w:pPr>
            <w:r w:rsidRPr="004828F7">
              <w:rPr>
                <w:rFonts w:ascii="Calibri" w:hAnsi="Calibri"/>
                <w:b/>
                <w:bCs/>
                <w:sz w:val="18"/>
                <w:szCs w:val="18"/>
              </w:rPr>
              <w:t>Негативне курсне разлике</w:t>
            </w:r>
          </w:p>
        </w:tc>
        <w:tc>
          <w:tcPr>
            <w:tcW w:w="1417" w:type="dxa"/>
            <w:tcBorders>
              <w:top w:val="nil"/>
              <w:left w:val="nil"/>
              <w:bottom w:val="single" w:sz="4" w:space="0" w:color="auto"/>
              <w:right w:val="single" w:sz="4" w:space="0" w:color="auto"/>
            </w:tcBorders>
            <w:shd w:val="clear" w:color="000000" w:fill="C5D9F1"/>
            <w:noWrap/>
            <w:vAlign w:val="center"/>
            <w:hideMark/>
          </w:tcPr>
          <w:p w:rsidR="004828F7" w:rsidRPr="00B8692C" w:rsidRDefault="004828F7" w:rsidP="004828F7">
            <w:pPr>
              <w:jc w:val="right"/>
              <w:rPr>
                <w:rFonts w:ascii="Calibri" w:hAnsi="Calibri"/>
                <w:b/>
                <w:bCs/>
                <w:color w:val="auto"/>
                <w:sz w:val="18"/>
                <w:szCs w:val="18"/>
                <w:lang w:val="sr-Cyrl-RS"/>
              </w:rPr>
            </w:pPr>
            <w:r w:rsidRPr="004828F7">
              <w:rPr>
                <w:rFonts w:ascii="Calibri" w:hAnsi="Calibri"/>
                <w:b/>
                <w:bCs/>
                <w:color w:val="auto"/>
                <w:sz w:val="18"/>
                <w:szCs w:val="18"/>
              </w:rPr>
              <w:t>0</w:t>
            </w:r>
            <w:r w:rsidR="00B8692C">
              <w:rPr>
                <w:rFonts w:ascii="Calibri" w:hAnsi="Calibri"/>
                <w:b/>
                <w:bCs/>
                <w:color w:val="auto"/>
                <w:sz w:val="18"/>
                <w:szCs w:val="18"/>
                <w:lang w:val="sr-Cyrl-RS"/>
              </w:rPr>
              <w:t>,00</w:t>
            </w:r>
          </w:p>
        </w:tc>
        <w:tc>
          <w:tcPr>
            <w:tcW w:w="1560"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right"/>
              <w:rPr>
                <w:rFonts w:ascii="Calibri" w:hAnsi="Calibri"/>
                <w:b/>
                <w:bCs/>
                <w:color w:val="auto"/>
                <w:sz w:val="18"/>
                <w:szCs w:val="18"/>
              </w:rPr>
            </w:pPr>
            <w:r w:rsidRPr="004828F7">
              <w:rPr>
                <w:rFonts w:ascii="Calibri" w:hAnsi="Calibri"/>
                <w:b/>
                <w:bCs/>
                <w:color w:val="auto"/>
                <w:sz w:val="18"/>
                <w:szCs w:val="18"/>
              </w:rPr>
              <w:t>9,10</w:t>
            </w:r>
          </w:p>
        </w:tc>
        <w:tc>
          <w:tcPr>
            <w:tcW w:w="992" w:type="dxa"/>
            <w:tcBorders>
              <w:top w:val="nil"/>
              <w:left w:val="nil"/>
              <w:bottom w:val="single" w:sz="4" w:space="0" w:color="auto"/>
              <w:right w:val="single" w:sz="4" w:space="0" w:color="auto"/>
            </w:tcBorders>
            <w:shd w:val="clear" w:color="000000" w:fill="C5D9F1"/>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 </w:t>
            </w:r>
          </w:p>
        </w:tc>
      </w:tr>
      <w:tr w:rsidR="004828F7" w:rsidRPr="004828F7" w:rsidTr="004828F7">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6800</w:t>
            </w:r>
          </w:p>
        </w:tc>
        <w:tc>
          <w:tcPr>
            <w:tcW w:w="3969" w:type="dxa"/>
            <w:tcBorders>
              <w:top w:val="nil"/>
              <w:left w:val="nil"/>
              <w:bottom w:val="single" w:sz="4" w:space="0" w:color="auto"/>
              <w:right w:val="single" w:sz="4" w:space="0" w:color="auto"/>
            </w:tcBorders>
            <w:shd w:val="clear" w:color="auto" w:fill="auto"/>
            <w:vAlign w:val="center"/>
            <w:hideMark/>
          </w:tcPr>
          <w:p w:rsidR="004828F7" w:rsidRPr="004828F7" w:rsidRDefault="004828F7" w:rsidP="004828F7">
            <w:pPr>
              <w:jc w:val="left"/>
              <w:rPr>
                <w:rFonts w:ascii="Calibri" w:hAnsi="Calibri"/>
                <w:sz w:val="18"/>
                <w:szCs w:val="18"/>
              </w:rPr>
            </w:pPr>
            <w:r w:rsidRPr="004828F7">
              <w:rPr>
                <w:rFonts w:ascii="Calibri" w:hAnsi="Calibri"/>
                <w:sz w:val="18"/>
                <w:szCs w:val="18"/>
              </w:rPr>
              <w:t>Расходи по основу негативних курсних разлика</w:t>
            </w:r>
          </w:p>
        </w:tc>
        <w:tc>
          <w:tcPr>
            <w:tcW w:w="1417"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sz w:val="18"/>
                <w:szCs w:val="18"/>
              </w:rPr>
            </w:pPr>
            <w:r w:rsidRPr="004828F7">
              <w:rPr>
                <w:rFonts w:ascii="Calibri" w:hAnsi="Calibri"/>
                <w:sz w:val="18"/>
                <w:szCs w:val="18"/>
              </w:rPr>
              <w:t>0,00</w:t>
            </w:r>
          </w:p>
        </w:tc>
        <w:tc>
          <w:tcPr>
            <w:tcW w:w="1560"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right"/>
              <w:rPr>
                <w:rFonts w:ascii="Calibri" w:hAnsi="Calibri"/>
                <w:color w:val="auto"/>
                <w:sz w:val="18"/>
                <w:szCs w:val="18"/>
              </w:rPr>
            </w:pPr>
            <w:r w:rsidRPr="004828F7">
              <w:rPr>
                <w:rFonts w:ascii="Calibri" w:hAnsi="Calibri"/>
                <w:color w:val="auto"/>
                <w:sz w:val="18"/>
                <w:szCs w:val="18"/>
              </w:rPr>
              <w:t>9,10</w:t>
            </w:r>
          </w:p>
        </w:tc>
        <w:tc>
          <w:tcPr>
            <w:tcW w:w="992" w:type="dxa"/>
            <w:tcBorders>
              <w:top w:val="nil"/>
              <w:left w:val="nil"/>
              <w:bottom w:val="single" w:sz="4" w:space="0" w:color="auto"/>
              <w:right w:val="single" w:sz="4" w:space="0" w:color="auto"/>
            </w:tcBorders>
            <w:shd w:val="clear" w:color="auto" w:fill="auto"/>
            <w:noWrap/>
            <w:vAlign w:val="center"/>
            <w:hideMark/>
          </w:tcPr>
          <w:p w:rsidR="004828F7" w:rsidRPr="004828F7" w:rsidRDefault="004828F7" w:rsidP="004828F7">
            <w:pPr>
              <w:jc w:val="center"/>
              <w:rPr>
                <w:rFonts w:ascii="Calibri" w:hAnsi="Calibri"/>
                <w:sz w:val="18"/>
                <w:szCs w:val="18"/>
              </w:rPr>
            </w:pPr>
            <w:r w:rsidRPr="004828F7">
              <w:rPr>
                <w:rFonts w:ascii="Calibri" w:hAnsi="Calibri"/>
                <w:sz w:val="18"/>
                <w:szCs w:val="18"/>
              </w:rPr>
              <w:t> </w:t>
            </w:r>
          </w:p>
        </w:tc>
      </w:tr>
      <w:tr w:rsidR="004828F7" w:rsidRPr="004828F7" w:rsidTr="00462BE1">
        <w:trPr>
          <w:trHeight w:val="440"/>
        </w:trPr>
        <w:tc>
          <w:tcPr>
            <w:tcW w:w="4820"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Укупно трошкови</w:t>
            </w:r>
          </w:p>
        </w:tc>
        <w:tc>
          <w:tcPr>
            <w:tcW w:w="1417" w:type="dxa"/>
            <w:tcBorders>
              <w:top w:val="nil"/>
              <w:left w:val="nil"/>
              <w:bottom w:val="single" w:sz="4" w:space="0" w:color="auto"/>
              <w:right w:val="single" w:sz="4" w:space="0" w:color="auto"/>
            </w:tcBorders>
            <w:shd w:val="clear" w:color="000000" w:fill="8DB4E2"/>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2.190.133,00</w:t>
            </w:r>
          </w:p>
        </w:tc>
        <w:tc>
          <w:tcPr>
            <w:tcW w:w="1560" w:type="dxa"/>
            <w:tcBorders>
              <w:top w:val="nil"/>
              <w:left w:val="nil"/>
              <w:bottom w:val="single" w:sz="4" w:space="0" w:color="auto"/>
              <w:right w:val="single" w:sz="4" w:space="0" w:color="auto"/>
            </w:tcBorders>
            <w:shd w:val="clear" w:color="000000" w:fill="8DB4E2"/>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1.835.519,90</w:t>
            </w:r>
          </w:p>
        </w:tc>
        <w:tc>
          <w:tcPr>
            <w:tcW w:w="992" w:type="dxa"/>
            <w:tcBorders>
              <w:top w:val="nil"/>
              <w:left w:val="nil"/>
              <w:bottom w:val="single" w:sz="4" w:space="0" w:color="auto"/>
              <w:right w:val="single" w:sz="4" w:space="0" w:color="auto"/>
            </w:tcBorders>
            <w:shd w:val="clear" w:color="auto" w:fill="8DB3E2" w:themeFill="text2" w:themeFillTint="66"/>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83,81</w:t>
            </w:r>
          </w:p>
        </w:tc>
      </w:tr>
      <w:tr w:rsidR="004828F7" w:rsidRPr="004828F7" w:rsidTr="00462BE1">
        <w:trPr>
          <w:trHeight w:val="405"/>
        </w:trPr>
        <w:tc>
          <w:tcPr>
            <w:tcW w:w="4820"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УКУПНО РАСХОДИ</w:t>
            </w:r>
          </w:p>
        </w:tc>
        <w:tc>
          <w:tcPr>
            <w:tcW w:w="1417" w:type="dxa"/>
            <w:tcBorders>
              <w:top w:val="nil"/>
              <w:left w:val="nil"/>
              <w:bottom w:val="single" w:sz="4" w:space="0" w:color="auto"/>
              <w:right w:val="single" w:sz="4" w:space="0" w:color="auto"/>
            </w:tcBorders>
            <w:shd w:val="clear" w:color="000000" w:fill="8DB4E2"/>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2.419.133,00</w:t>
            </w:r>
          </w:p>
        </w:tc>
        <w:tc>
          <w:tcPr>
            <w:tcW w:w="1560" w:type="dxa"/>
            <w:tcBorders>
              <w:top w:val="nil"/>
              <w:left w:val="nil"/>
              <w:bottom w:val="single" w:sz="4" w:space="0" w:color="auto"/>
              <w:right w:val="single" w:sz="4" w:space="0" w:color="auto"/>
            </w:tcBorders>
            <w:shd w:val="clear" w:color="000000" w:fill="8DB4E2"/>
            <w:noWrap/>
            <w:vAlign w:val="center"/>
            <w:hideMark/>
          </w:tcPr>
          <w:p w:rsidR="004828F7" w:rsidRPr="004828F7" w:rsidRDefault="004828F7" w:rsidP="004828F7">
            <w:pPr>
              <w:jc w:val="right"/>
              <w:rPr>
                <w:rFonts w:ascii="Calibri" w:hAnsi="Calibri"/>
                <w:b/>
                <w:bCs/>
                <w:sz w:val="18"/>
                <w:szCs w:val="18"/>
              </w:rPr>
            </w:pPr>
            <w:r w:rsidRPr="004828F7">
              <w:rPr>
                <w:rFonts w:ascii="Calibri" w:hAnsi="Calibri"/>
                <w:b/>
                <w:bCs/>
                <w:sz w:val="18"/>
                <w:szCs w:val="18"/>
              </w:rPr>
              <w:t>2.656.957,48</w:t>
            </w:r>
          </w:p>
        </w:tc>
        <w:tc>
          <w:tcPr>
            <w:tcW w:w="992" w:type="dxa"/>
            <w:tcBorders>
              <w:top w:val="nil"/>
              <w:left w:val="nil"/>
              <w:bottom w:val="single" w:sz="4" w:space="0" w:color="auto"/>
              <w:right w:val="single" w:sz="4" w:space="0" w:color="auto"/>
            </w:tcBorders>
            <w:shd w:val="clear" w:color="auto" w:fill="8DB3E2" w:themeFill="text2" w:themeFillTint="66"/>
            <w:noWrap/>
            <w:vAlign w:val="center"/>
            <w:hideMark/>
          </w:tcPr>
          <w:p w:rsidR="004828F7" w:rsidRPr="004828F7" w:rsidRDefault="004828F7" w:rsidP="004828F7">
            <w:pPr>
              <w:jc w:val="center"/>
              <w:rPr>
                <w:rFonts w:ascii="Calibri" w:hAnsi="Calibri"/>
                <w:b/>
                <w:bCs/>
                <w:sz w:val="18"/>
                <w:szCs w:val="18"/>
              </w:rPr>
            </w:pPr>
            <w:r w:rsidRPr="004828F7">
              <w:rPr>
                <w:rFonts w:ascii="Calibri" w:hAnsi="Calibri"/>
                <w:b/>
                <w:bCs/>
                <w:sz w:val="18"/>
                <w:szCs w:val="18"/>
              </w:rPr>
              <w:t>109,83</w:t>
            </w:r>
          </w:p>
        </w:tc>
      </w:tr>
    </w:tbl>
    <w:p w:rsidR="00462BE1" w:rsidRDefault="00462BE1" w:rsidP="00713AF5">
      <w:pPr>
        <w:rPr>
          <w:rFonts w:asciiTheme="minorHAnsi" w:hAnsiTheme="minorHAnsi"/>
          <w:color w:val="000000" w:themeColor="text1"/>
          <w:sz w:val="20"/>
          <w:szCs w:val="20"/>
          <w:lang w:val="sr-Cyrl-CS" w:eastAsia="sr-Cyrl-CS"/>
        </w:rPr>
      </w:pPr>
    </w:p>
    <w:p w:rsidR="008606D0" w:rsidRDefault="001538EF" w:rsidP="00713AF5">
      <w:pPr>
        <w:rPr>
          <w:rFonts w:asciiTheme="minorHAnsi" w:hAnsiTheme="minorHAnsi"/>
          <w:color w:val="000000" w:themeColor="text1"/>
          <w:sz w:val="20"/>
          <w:szCs w:val="20"/>
          <w:lang w:val="sr-Cyrl-CS" w:eastAsia="sr-Cyrl-CS"/>
        </w:rPr>
      </w:pPr>
      <w:r w:rsidRPr="00B8692C">
        <w:rPr>
          <w:rFonts w:asciiTheme="minorHAnsi" w:hAnsiTheme="minorHAnsi"/>
          <w:color w:val="000000" w:themeColor="text1"/>
          <w:sz w:val="20"/>
          <w:szCs w:val="20"/>
          <w:lang w:val="sr-Cyrl-CS" w:eastAsia="sr-Cyrl-CS"/>
        </w:rPr>
        <w:t>У 202</w:t>
      </w:r>
      <w:r w:rsidR="007A29C2" w:rsidRPr="00B8692C">
        <w:rPr>
          <w:rFonts w:asciiTheme="minorHAnsi" w:hAnsiTheme="minorHAnsi"/>
          <w:color w:val="000000" w:themeColor="text1"/>
          <w:sz w:val="20"/>
          <w:szCs w:val="20"/>
          <w:lang w:val="sr-Cyrl-CS" w:eastAsia="sr-Cyrl-CS"/>
        </w:rPr>
        <w:t>4</w:t>
      </w:r>
      <w:r w:rsidRPr="00B8692C">
        <w:rPr>
          <w:rFonts w:asciiTheme="minorHAnsi" w:hAnsiTheme="minorHAnsi"/>
          <w:color w:val="000000" w:themeColor="text1"/>
          <w:sz w:val="20"/>
          <w:szCs w:val="20"/>
          <w:lang w:val="sr-Cyrl-CS" w:eastAsia="sr-Cyrl-CS"/>
        </w:rPr>
        <w:t xml:space="preserve">. години Фонд је остварио трошкове </w:t>
      </w:r>
      <w:r w:rsidR="00713AF5" w:rsidRPr="00B8692C">
        <w:rPr>
          <w:rFonts w:asciiTheme="minorHAnsi" w:hAnsiTheme="minorHAnsi"/>
          <w:color w:val="000000" w:themeColor="text1"/>
          <w:sz w:val="20"/>
          <w:szCs w:val="20"/>
          <w:lang w:val="sr-Cyrl-CS" w:eastAsia="sr-Cyrl-CS"/>
        </w:rPr>
        <w:t>пословања</w:t>
      </w:r>
      <w:r w:rsidRPr="00B8692C">
        <w:rPr>
          <w:rFonts w:asciiTheme="minorHAnsi" w:hAnsiTheme="minorHAnsi"/>
          <w:color w:val="000000" w:themeColor="text1"/>
          <w:sz w:val="20"/>
          <w:szCs w:val="20"/>
          <w:lang w:val="sr-Cyrl-CS" w:eastAsia="sr-Cyrl-CS"/>
        </w:rPr>
        <w:t xml:space="preserve"> у износу од </w:t>
      </w:r>
      <w:r w:rsidR="00713AF5" w:rsidRPr="00B8692C">
        <w:rPr>
          <w:rFonts w:asciiTheme="minorHAnsi" w:hAnsiTheme="minorHAnsi"/>
          <w:color w:val="000000" w:themeColor="text1"/>
          <w:sz w:val="20"/>
          <w:szCs w:val="20"/>
          <w:lang w:val="sr-Cyrl-CS" w:eastAsia="sr-Cyrl-CS"/>
        </w:rPr>
        <w:t>1.</w:t>
      </w:r>
      <w:r w:rsidR="00B8692C" w:rsidRPr="00B8692C">
        <w:rPr>
          <w:rFonts w:asciiTheme="minorHAnsi" w:hAnsiTheme="minorHAnsi"/>
          <w:color w:val="000000" w:themeColor="text1"/>
          <w:sz w:val="20"/>
          <w:szCs w:val="20"/>
          <w:lang w:val="sr-Cyrl-CS" w:eastAsia="sr-Cyrl-CS"/>
        </w:rPr>
        <w:t>835.519,90</w:t>
      </w:r>
      <w:r w:rsidR="00E16DD7" w:rsidRPr="00B8692C">
        <w:rPr>
          <w:rFonts w:asciiTheme="minorHAnsi" w:hAnsiTheme="minorHAnsi"/>
          <w:color w:val="000000" w:themeColor="text1"/>
          <w:sz w:val="20"/>
          <w:szCs w:val="20"/>
          <w:lang w:val="sr-Cyrl-CS" w:eastAsia="sr-Cyrl-CS"/>
        </w:rPr>
        <w:t xml:space="preserve"> КМ, док су укупни расходи износили</w:t>
      </w:r>
      <w:r w:rsidRPr="00B8692C">
        <w:rPr>
          <w:rFonts w:asciiTheme="minorHAnsi" w:hAnsiTheme="minorHAnsi"/>
          <w:color w:val="000000" w:themeColor="text1"/>
          <w:sz w:val="20"/>
          <w:szCs w:val="20"/>
          <w:lang w:val="sr-Cyrl-CS" w:eastAsia="sr-Cyrl-CS"/>
        </w:rPr>
        <w:t xml:space="preserve"> </w:t>
      </w:r>
      <w:r w:rsidR="00B8692C" w:rsidRPr="00B8692C">
        <w:rPr>
          <w:rFonts w:asciiTheme="minorHAnsi" w:hAnsiTheme="minorHAnsi"/>
          <w:color w:val="000000" w:themeColor="text1"/>
          <w:sz w:val="20"/>
          <w:szCs w:val="20"/>
          <w:lang w:val="sr-Cyrl-CS" w:eastAsia="sr-Cyrl-CS"/>
        </w:rPr>
        <w:t>2.656.957,48</w:t>
      </w:r>
      <w:r w:rsidR="00E16DD7" w:rsidRPr="00B8692C">
        <w:rPr>
          <w:rFonts w:asciiTheme="minorHAnsi" w:hAnsiTheme="minorHAnsi"/>
          <w:color w:val="000000" w:themeColor="text1"/>
          <w:sz w:val="20"/>
          <w:szCs w:val="20"/>
          <w:lang w:val="sr-Cyrl-CS" w:eastAsia="sr-Cyrl-CS"/>
        </w:rPr>
        <w:t xml:space="preserve"> КМ. </w:t>
      </w:r>
      <w:r w:rsidR="00B8692C">
        <w:rPr>
          <w:rFonts w:asciiTheme="minorHAnsi" w:hAnsiTheme="minorHAnsi"/>
          <w:color w:val="000000" w:themeColor="text1"/>
          <w:sz w:val="20"/>
          <w:szCs w:val="20"/>
          <w:lang w:val="sr-Cyrl-CS" w:eastAsia="sr-Cyrl-CS"/>
        </w:rPr>
        <w:t>Трошкови пословања у посматраној години су мањи за 6,60% у односу на тро</w:t>
      </w:r>
      <w:r w:rsidR="008606D0">
        <w:rPr>
          <w:rFonts w:asciiTheme="minorHAnsi" w:hAnsiTheme="minorHAnsi"/>
          <w:color w:val="000000" w:themeColor="text1"/>
          <w:sz w:val="20"/>
          <w:szCs w:val="20"/>
          <w:lang w:val="sr-Cyrl-CS" w:eastAsia="sr-Cyrl-CS"/>
        </w:rPr>
        <w:t xml:space="preserve">шкове пословања у 2023. години, а </w:t>
      </w:r>
      <w:r w:rsidR="00B8692C">
        <w:rPr>
          <w:rFonts w:asciiTheme="minorHAnsi" w:hAnsiTheme="minorHAnsi"/>
          <w:color w:val="000000" w:themeColor="text1"/>
          <w:sz w:val="20"/>
          <w:szCs w:val="20"/>
          <w:lang w:val="sr-Cyrl-CS" w:eastAsia="sr-Cyrl-CS"/>
        </w:rPr>
        <w:t xml:space="preserve">у односу на план за 16,69%. Ако посматрамо укупне остварене расходе, они су мањи у односу на претходну годину за 13,23%, док је остварење у односу на план за 2024. годину </w:t>
      </w:r>
      <w:r w:rsidR="008606D0">
        <w:rPr>
          <w:rFonts w:asciiTheme="minorHAnsi" w:hAnsiTheme="minorHAnsi"/>
          <w:color w:val="000000" w:themeColor="text1"/>
          <w:sz w:val="20"/>
          <w:szCs w:val="20"/>
          <w:lang w:val="sr-Cyrl-CS" w:eastAsia="sr-Cyrl-CS"/>
        </w:rPr>
        <w:t>веће за 9,83%.</w:t>
      </w:r>
    </w:p>
    <w:p w:rsidR="00462BE1" w:rsidRPr="00C765E8" w:rsidRDefault="00462BE1" w:rsidP="00713AF5">
      <w:pPr>
        <w:rPr>
          <w:rFonts w:asciiTheme="minorHAnsi" w:hAnsiTheme="minorHAnsi"/>
          <w:color w:val="FF0000"/>
          <w:sz w:val="20"/>
          <w:szCs w:val="20"/>
          <w:lang w:val="sr-Cyrl-CS" w:eastAsia="sr-Cyrl-CS"/>
        </w:rPr>
      </w:pPr>
    </w:p>
    <w:p w:rsidR="00C765E8" w:rsidRDefault="00E16DD7" w:rsidP="00713AF5">
      <w:pPr>
        <w:rPr>
          <w:rFonts w:asciiTheme="minorHAnsi" w:hAnsiTheme="minorHAnsi"/>
          <w:color w:val="000000" w:themeColor="text1"/>
          <w:sz w:val="20"/>
          <w:szCs w:val="20"/>
          <w:lang w:val="sr-Cyrl-CS" w:eastAsia="sr-Cyrl-CS"/>
        </w:rPr>
      </w:pPr>
      <w:r w:rsidRPr="000274B1">
        <w:rPr>
          <w:rFonts w:asciiTheme="minorHAnsi" w:hAnsiTheme="minorHAnsi"/>
          <w:color w:val="000000" w:themeColor="text1"/>
          <w:sz w:val="20"/>
          <w:szCs w:val="20"/>
          <w:lang w:val="sr-Cyrl-CS" w:eastAsia="sr-Cyrl-CS"/>
        </w:rPr>
        <w:t xml:space="preserve">Разлику </w:t>
      </w:r>
      <w:r w:rsidR="00713AF5" w:rsidRPr="000274B1">
        <w:rPr>
          <w:rFonts w:asciiTheme="minorHAnsi" w:hAnsiTheme="minorHAnsi"/>
          <w:color w:val="000000" w:themeColor="text1"/>
          <w:sz w:val="20"/>
          <w:szCs w:val="20"/>
          <w:lang w:val="sr-Cyrl-CS" w:eastAsia="sr-Cyrl-CS"/>
        </w:rPr>
        <w:t xml:space="preserve">у износу од </w:t>
      </w:r>
      <w:r w:rsidR="004A36D0">
        <w:rPr>
          <w:rFonts w:asciiTheme="minorHAnsi" w:hAnsiTheme="minorHAnsi"/>
          <w:color w:val="000000" w:themeColor="text1"/>
          <w:sz w:val="20"/>
          <w:szCs w:val="20"/>
          <w:lang w:val="sr-Cyrl-CS" w:eastAsia="sr-Cyrl-CS"/>
        </w:rPr>
        <w:t>821.4</w:t>
      </w:r>
      <w:r w:rsidR="008606D0" w:rsidRPr="000274B1">
        <w:rPr>
          <w:rFonts w:asciiTheme="minorHAnsi" w:hAnsiTheme="minorHAnsi"/>
          <w:color w:val="000000" w:themeColor="text1"/>
          <w:sz w:val="20"/>
          <w:szCs w:val="20"/>
          <w:lang w:val="sr-Cyrl-CS" w:eastAsia="sr-Cyrl-CS"/>
        </w:rPr>
        <w:t>37,58</w:t>
      </w:r>
      <w:r w:rsidR="00713AF5" w:rsidRPr="000274B1">
        <w:rPr>
          <w:rFonts w:asciiTheme="minorHAnsi" w:hAnsiTheme="minorHAnsi"/>
          <w:color w:val="000000" w:themeColor="text1"/>
          <w:sz w:val="20"/>
          <w:szCs w:val="20"/>
          <w:lang w:val="sr-Cyrl-CS" w:eastAsia="sr-Cyrl-CS"/>
        </w:rPr>
        <w:t xml:space="preserve"> КМ </w:t>
      </w:r>
      <w:r w:rsidRPr="000274B1">
        <w:rPr>
          <w:rFonts w:asciiTheme="minorHAnsi" w:hAnsiTheme="minorHAnsi"/>
          <w:color w:val="000000" w:themeColor="text1"/>
          <w:sz w:val="20"/>
          <w:szCs w:val="20"/>
          <w:lang w:val="sr-Cyrl-CS" w:eastAsia="sr-Cyrl-CS"/>
        </w:rPr>
        <w:t>између остварених трошкова</w:t>
      </w:r>
      <w:r w:rsidR="008606D0" w:rsidRPr="000274B1">
        <w:rPr>
          <w:rFonts w:asciiTheme="minorHAnsi" w:hAnsiTheme="minorHAnsi"/>
          <w:color w:val="000000" w:themeColor="text1"/>
          <w:sz w:val="20"/>
          <w:szCs w:val="20"/>
          <w:lang w:val="sr-Cyrl-CS" w:eastAsia="sr-Cyrl-CS"/>
        </w:rPr>
        <w:t xml:space="preserve"> пословања</w:t>
      </w:r>
      <w:r w:rsidRPr="000274B1">
        <w:rPr>
          <w:rFonts w:asciiTheme="minorHAnsi" w:hAnsiTheme="minorHAnsi"/>
          <w:color w:val="000000" w:themeColor="text1"/>
          <w:sz w:val="20"/>
          <w:szCs w:val="20"/>
          <w:lang w:val="sr-Cyrl-CS" w:eastAsia="sr-Cyrl-CS"/>
        </w:rPr>
        <w:t xml:space="preserve"> и укупних расхода чине </w:t>
      </w:r>
      <w:r w:rsidR="008606D0" w:rsidRPr="000274B1">
        <w:rPr>
          <w:rFonts w:asciiTheme="minorHAnsi" w:hAnsiTheme="minorHAnsi"/>
          <w:color w:val="000000" w:themeColor="text1"/>
          <w:sz w:val="20"/>
          <w:szCs w:val="20"/>
          <w:lang w:val="sr-Cyrl-CS" w:eastAsia="sr-Cyrl-CS"/>
        </w:rPr>
        <w:t xml:space="preserve">ставке расходе које </w:t>
      </w:r>
      <w:r w:rsidR="000600A0">
        <w:rPr>
          <w:rFonts w:asciiTheme="minorHAnsi" w:hAnsiTheme="minorHAnsi"/>
          <w:color w:val="000000" w:themeColor="text1"/>
          <w:sz w:val="20"/>
          <w:szCs w:val="20"/>
          <w:lang w:val="sr-Cyrl-CS" w:eastAsia="sr-Cyrl-CS"/>
        </w:rPr>
        <w:t xml:space="preserve">су знатно веће у односу на план </w:t>
      </w:r>
      <w:r w:rsidR="000600A0" w:rsidRPr="000274B1">
        <w:rPr>
          <w:rFonts w:asciiTheme="minorHAnsi" w:hAnsiTheme="minorHAnsi"/>
          <w:color w:val="000000" w:themeColor="text1"/>
          <w:sz w:val="20"/>
          <w:szCs w:val="20"/>
          <w:lang w:val="sr-Cyrl-CS" w:eastAsia="sr-Cyrl-CS"/>
        </w:rPr>
        <w:t xml:space="preserve">јер </w:t>
      </w:r>
      <w:r w:rsidR="000600A0">
        <w:rPr>
          <w:rFonts w:asciiTheme="minorHAnsi" w:hAnsiTheme="minorHAnsi"/>
          <w:color w:val="000000" w:themeColor="text1"/>
          <w:sz w:val="20"/>
          <w:szCs w:val="20"/>
          <w:lang w:val="sr-Cyrl-CS" w:eastAsia="sr-Cyrl-CS"/>
        </w:rPr>
        <w:t>у</w:t>
      </w:r>
      <w:r w:rsidR="000600A0" w:rsidRPr="000274B1">
        <w:rPr>
          <w:rFonts w:asciiTheme="minorHAnsi" w:hAnsiTheme="minorHAnsi"/>
          <w:color w:val="000000" w:themeColor="text1"/>
          <w:sz w:val="20"/>
          <w:szCs w:val="20"/>
          <w:lang w:val="sr-Cyrl-CS" w:eastAsia="sr-Cyrl-CS"/>
        </w:rPr>
        <w:t xml:space="preserve"> моменту </w:t>
      </w:r>
      <w:r w:rsidR="008606D0" w:rsidRPr="000274B1">
        <w:rPr>
          <w:rFonts w:asciiTheme="minorHAnsi" w:hAnsiTheme="minorHAnsi"/>
          <w:color w:val="000000" w:themeColor="text1"/>
          <w:sz w:val="20"/>
          <w:szCs w:val="20"/>
          <w:lang w:val="sr-Cyrl-CS" w:eastAsia="sr-Cyrl-CS"/>
        </w:rPr>
        <w:t xml:space="preserve">сачињавања плана </w:t>
      </w:r>
      <w:r w:rsidR="000274B1" w:rsidRPr="000274B1">
        <w:rPr>
          <w:rFonts w:asciiTheme="minorHAnsi" w:hAnsiTheme="minorHAnsi"/>
          <w:color w:val="000000" w:themeColor="text1"/>
          <w:sz w:val="20"/>
          <w:szCs w:val="20"/>
          <w:lang w:val="sr-Cyrl-CS" w:eastAsia="sr-Cyrl-CS"/>
        </w:rPr>
        <w:t>њих</w:t>
      </w:r>
      <w:r w:rsidR="000274B1">
        <w:rPr>
          <w:rFonts w:asciiTheme="minorHAnsi" w:hAnsiTheme="minorHAnsi"/>
          <w:color w:val="000000" w:themeColor="text1"/>
          <w:sz w:val="20"/>
          <w:szCs w:val="20"/>
          <w:lang w:val="sr-Cyrl-CS" w:eastAsia="sr-Cyrl-CS"/>
        </w:rPr>
        <w:t>ово остварење није било извјесно</w:t>
      </w:r>
      <w:r w:rsidR="000600A0">
        <w:rPr>
          <w:rFonts w:asciiTheme="minorHAnsi" w:hAnsiTheme="minorHAnsi"/>
          <w:color w:val="000000" w:themeColor="text1"/>
          <w:sz w:val="20"/>
          <w:szCs w:val="20"/>
          <w:lang w:val="sr-Cyrl-CS" w:eastAsia="sr-Cyrl-CS"/>
        </w:rPr>
        <w:t xml:space="preserve"> или се због других фактора нису могли адекватно планирати</w:t>
      </w:r>
      <w:r w:rsidR="000274B1" w:rsidRPr="000274B1">
        <w:rPr>
          <w:rFonts w:asciiTheme="minorHAnsi" w:hAnsiTheme="minorHAnsi"/>
          <w:color w:val="000000" w:themeColor="text1"/>
          <w:sz w:val="20"/>
          <w:szCs w:val="20"/>
          <w:lang w:val="sr-Cyrl-CS" w:eastAsia="sr-Cyrl-CS"/>
        </w:rPr>
        <w:t>.</w:t>
      </w:r>
      <w:r w:rsidR="000274B1">
        <w:rPr>
          <w:rFonts w:asciiTheme="minorHAnsi" w:hAnsiTheme="minorHAnsi"/>
          <w:color w:val="000000" w:themeColor="text1"/>
          <w:sz w:val="20"/>
          <w:szCs w:val="20"/>
          <w:lang w:val="sr-Cyrl-CS" w:eastAsia="sr-Cyrl-CS"/>
        </w:rPr>
        <w:t xml:space="preserve"> Првенствено се мисли на губитке по основу продаје средстава намијењених </w:t>
      </w:r>
      <w:r w:rsidR="000274B1" w:rsidRPr="000274B1">
        <w:rPr>
          <w:rFonts w:asciiTheme="minorHAnsi" w:hAnsiTheme="minorHAnsi"/>
          <w:color w:val="000000" w:themeColor="text1"/>
          <w:sz w:val="20"/>
          <w:szCs w:val="20"/>
          <w:lang w:val="sr-Cyrl-CS" w:eastAsia="sr-Cyrl-CS"/>
        </w:rPr>
        <w:t xml:space="preserve">продаји, расходе камата и накнада, те губитке по основу престанка признавања финансијских средстава, </w:t>
      </w:r>
      <w:r w:rsidR="000600A0">
        <w:rPr>
          <w:rFonts w:asciiTheme="minorHAnsi" w:hAnsiTheme="minorHAnsi"/>
          <w:color w:val="000000" w:themeColor="text1"/>
          <w:sz w:val="20"/>
          <w:szCs w:val="20"/>
          <w:lang w:val="sr-Cyrl-CS" w:eastAsia="sr-Cyrl-CS"/>
        </w:rPr>
        <w:t>односно</w:t>
      </w:r>
      <w:r w:rsidR="000274B1" w:rsidRPr="000274B1">
        <w:rPr>
          <w:rFonts w:asciiTheme="minorHAnsi" w:hAnsiTheme="minorHAnsi"/>
          <w:color w:val="000000" w:themeColor="text1"/>
          <w:sz w:val="20"/>
          <w:szCs w:val="20"/>
          <w:lang w:val="sr-Cyrl-CS" w:eastAsia="sr-Cyrl-CS"/>
        </w:rPr>
        <w:t xml:space="preserve"> губитке по основу усклађивања хартија које су купљене по већој вриједности од номиналне.</w:t>
      </w:r>
      <w:r w:rsidR="008606D0" w:rsidRPr="000274B1">
        <w:rPr>
          <w:rFonts w:asciiTheme="minorHAnsi" w:hAnsiTheme="minorHAnsi"/>
          <w:color w:val="000000" w:themeColor="text1"/>
          <w:sz w:val="20"/>
          <w:szCs w:val="20"/>
          <w:lang w:val="sr-Cyrl-CS" w:eastAsia="sr-Cyrl-CS"/>
        </w:rPr>
        <w:t xml:space="preserve"> </w:t>
      </w:r>
    </w:p>
    <w:p w:rsidR="00C765E8" w:rsidRDefault="00C765E8" w:rsidP="00713AF5">
      <w:pPr>
        <w:rPr>
          <w:rFonts w:asciiTheme="minorHAnsi" w:hAnsiTheme="minorHAnsi"/>
          <w:color w:val="000000" w:themeColor="text1"/>
          <w:sz w:val="20"/>
          <w:szCs w:val="20"/>
          <w:lang w:val="sr-Cyrl-CS" w:eastAsia="sr-Cyrl-CS"/>
        </w:rPr>
      </w:pPr>
    </w:p>
    <w:p w:rsidR="008606D0" w:rsidRDefault="000274B1" w:rsidP="00713AF5">
      <w:pPr>
        <w:rPr>
          <w:rFonts w:asciiTheme="minorHAnsi" w:hAnsiTheme="minorHAnsi"/>
          <w:color w:val="000000" w:themeColor="text1"/>
          <w:sz w:val="20"/>
          <w:szCs w:val="20"/>
          <w:lang w:val="sr-Cyrl-CS" w:eastAsia="sr-Cyrl-CS"/>
        </w:rPr>
      </w:pPr>
      <w:r w:rsidRPr="00C765E8">
        <w:rPr>
          <w:rFonts w:asciiTheme="minorHAnsi" w:hAnsiTheme="minorHAnsi"/>
          <w:b/>
          <w:color w:val="000000" w:themeColor="text1"/>
          <w:sz w:val="20"/>
          <w:szCs w:val="20"/>
          <w:lang w:val="sr-Cyrl-CS" w:eastAsia="sr-Cyrl-CS"/>
        </w:rPr>
        <w:t>Расходи индиректних отписа пласмана</w:t>
      </w:r>
      <w:r>
        <w:rPr>
          <w:rFonts w:asciiTheme="minorHAnsi" w:hAnsiTheme="minorHAnsi"/>
          <w:color w:val="000000" w:themeColor="text1"/>
          <w:sz w:val="20"/>
          <w:szCs w:val="20"/>
          <w:lang w:val="sr-Cyrl-CS" w:eastAsia="sr-Cyrl-CS"/>
        </w:rPr>
        <w:t xml:space="preserve"> такође показују значајно одступање у односу на план. Ова ставка се односи на </w:t>
      </w:r>
      <w:r w:rsidR="00462BE1">
        <w:rPr>
          <w:rFonts w:asciiTheme="minorHAnsi" w:hAnsiTheme="minorHAnsi"/>
          <w:color w:val="000000" w:themeColor="text1"/>
          <w:sz w:val="20"/>
          <w:szCs w:val="20"/>
          <w:lang w:val="sr-Cyrl-CS" w:eastAsia="sr-Cyrl-CS"/>
        </w:rPr>
        <w:t>потраживања од Бобар банке-у ликвидацији, чија је вриједност</w:t>
      </w:r>
      <w:r>
        <w:rPr>
          <w:rFonts w:asciiTheme="minorHAnsi" w:hAnsiTheme="minorHAnsi"/>
          <w:color w:val="000000" w:themeColor="text1"/>
          <w:sz w:val="20"/>
          <w:szCs w:val="20"/>
          <w:lang w:val="sr-Cyrl-CS" w:eastAsia="sr-Cyrl-CS"/>
        </w:rPr>
        <w:t xml:space="preserve"> утврђена процјеном независног процјенитеља, а </w:t>
      </w:r>
      <w:r w:rsidR="00C765E8">
        <w:rPr>
          <w:rFonts w:asciiTheme="minorHAnsi" w:hAnsiTheme="minorHAnsi"/>
          <w:color w:val="000000" w:themeColor="text1"/>
          <w:sz w:val="20"/>
          <w:szCs w:val="20"/>
          <w:lang w:val="sr-Cyrl-CS" w:eastAsia="sr-Cyrl-CS"/>
        </w:rPr>
        <w:t xml:space="preserve">коју </w:t>
      </w:r>
      <w:r>
        <w:rPr>
          <w:rFonts w:asciiTheme="minorHAnsi" w:hAnsiTheme="minorHAnsi"/>
          <w:color w:val="000000" w:themeColor="text1"/>
          <w:sz w:val="20"/>
          <w:szCs w:val="20"/>
          <w:lang w:val="sr-Cyrl-CS" w:eastAsia="sr-Cyrl-CS"/>
        </w:rPr>
        <w:t xml:space="preserve">Фонд није могао предвидјети </w:t>
      </w:r>
      <w:r w:rsidR="00C765E8">
        <w:rPr>
          <w:rFonts w:asciiTheme="minorHAnsi" w:hAnsiTheme="minorHAnsi"/>
          <w:color w:val="000000" w:themeColor="text1"/>
          <w:sz w:val="20"/>
          <w:szCs w:val="20"/>
          <w:lang w:val="sr-Cyrl-CS" w:eastAsia="sr-Cyrl-CS"/>
        </w:rPr>
        <w:t>у тренутку планирања.</w:t>
      </w:r>
      <w:r w:rsidR="00462BE1">
        <w:rPr>
          <w:rFonts w:asciiTheme="minorHAnsi" w:hAnsiTheme="minorHAnsi"/>
          <w:color w:val="000000" w:themeColor="text1"/>
          <w:sz w:val="20"/>
          <w:szCs w:val="20"/>
          <w:lang w:val="sr-Cyrl-CS" w:eastAsia="sr-Cyrl-CS"/>
        </w:rPr>
        <w:t xml:space="preserve"> Вриједност потраживања од ове банке је смањена за за 178.723,98 КМ, а смањење је књижено на терет расхода периода.</w:t>
      </w:r>
    </w:p>
    <w:p w:rsidR="00C765E8" w:rsidRPr="000274B1" w:rsidRDefault="00C765E8" w:rsidP="00713AF5">
      <w:pPr>
        <w:rPr>
          <w:rFonts w:asciiTheme="minorHAnsi" w:hAnsiTheme="minorHAnsi"/>
          <w:color w:val="000000" w:themeColor="text1"/>
          <w:sz w:val="20"/>
          <w:szCs w:val="20"/>
          <w:lang w:val="sr-Cyrl-CS" w:eastAsia="sr-Cyrl-CS"/>
        </w:rPr>
      </w:pPr>
    </w:p>
    <w:p w:rsidR="00B50FBE" w:rsidRDefault="000274B1" w:rsidP="001538EF">
      <w:pPr>
        <w:rPr>
          <w:rFonts w:asciiTheme="minorHAnsi" w:hAnsiTheme="minorHAnsi"/>
          <w:color w:val="000000" w:themeColor="text1"/>
          <w:sz w:val="20"/>
          <w:szCs w:val="20"/>
          <w:lang w:val="sr-Cyrl-CS" w:eastAsia="sr-Cyrl-CS"/>
        </w:rPr>
      </w:pPr>
      <w:r w:rsidRPr="00C765E8">
        <w:rPr>
          <w:rFonts w:asciiTheme="minorHAnsi" w:hAnsiTheme="minorHAnsi"/>
          <w:b/>
          <w:color w:val="000000" w:themeColor="text1"/>
          <w:sz w:val="20"/>
          <w:szCs w:val="20"/>
          <w:lang w:val="sr-Cyrl-CS" w:eastAsia="sr-Cyrl-CS"/>
        </w:rPr>
        <w:t>Расходи р</w:t>
      </w:r>
      <w:r w:rsidR="00E16DD7" w:rsidRPr="00C765E8">
        <w:rPr>
          <w:rFonts w:asciiTheme="minorHAnsi" w:hAnsiTheme="minorHAnsi"/>
          <w:b/>
          <w:color w:val="000000" w:themeColor="text1"/>
          <w:sz w:val="20"/>
          <w:szCs w:val="20"/>
          <w:lang w:val="sr-Cyrl-CS" w:eastAsia="sr-Cyrl-CS"/>
        </w:rPr>
        <w:t>езервисања</w:t>
      </w:r>
      <w:r w:rsidR="001538EF" w:rsidRPr="00C765E8">
        <w:rPr>
          <w:rFonts w:asciiTheme="minorHAnsi" w:hAnsiTheme="minorHAnsi"/>
          <w:b/>
          <w:color w:val="000000" w:themeColor="text1"/>
          <w:sz w:val="20"/>
          <w:szCs w:val="20"/>
          <w:lang w:val="sr-Cyrl-CS" w:eastAsia="sr-Cyrl-CS"/>
        </w:rPr>
        <w:t xml:space="preserve"> </w:t>
      </w:r>
      <w:r w:rsidR="00713AF5" w:rsidRPr="00C765E8">
        <w:rPr>
          <w:rFonts w:asciiTheme="minorHAnsi" w:hAnsiTheme="minorHAnsi"/>
          <w:b/>
          <w:color w:val="000000" w:themeColor="text1"/>
          <w:sz w:val="20"/>
          <w:szCs w:val="20"/>
          <w:lang w:val="sr-Cyrl-BA" w:eastAsia="sr-Latn-RS"/>
        </w:rPr>
        <w:t xml:space="preserve">по ванбилансној активи </w:t>
      </w:r>
      <w:r w:rsidR="00713AF5" w:rsidRPr="00B50FBE">
        <w:rPr>
          <w:rFonts w:asciiTheme="minorHAnsi" w:hAnsiTheme="minorHAnsi"/>
          <w:color w:val="000000" w:themeColor="text1"/>
          <w:sz w:val="20"/>
          <w:szCs w:val="20"/>
          <w:lang w:val="sr-Cyrl-BA" w:eastAsia="sr-Latn-RS"/>
        </w:rPr>
        <w:t xml:space="preserve">у </w:t>
      </w:r>
      <w:r w:rsidRPr="00B50FBE">
        <w:rPr>
          <w:rFonts w:asciiTheme="minorHAnsi" w:hAnsiTheme="minorHAnsi"/>
          <w:color w:val="000000" w:themeColor="text1"/>
          <w:sz w:val="20"/>
          <w:szCs w:val="20"/>
          <w:lang w:val="sr-Cyrl-BA" w:eastAsia="sr-Latn-RS"/>
        </w:rPr>
        <w:t>2024. години износе 360.288,35</w:t>
      </w:r>
      <w:r w:rsidR="00C765E8">
        <w:rPr>
          <w:rFonts w:asciiTheme="minorHAnsi" w:hAnsiTheme="minorHAnsi"/>
          <w:color w:val="000000" w:themeColor="text1"/>
          <w:sz w:val="20"/>
          <w:szCs w:val="20"/>
          <w:lang w:val="sr-Cyrl-BA" w:eastAsia="sr-Latn-RS"/>
        </w:rPr>
        <w:t xml:space="preserve"> КМ и већи</w:t>
      </w:r>
      <w:r w:rsidRPr="00B50FBE">
        <w:rPr>
          <w:rFonts w:asciiTheme="minorHAnsi" w:hAnsiTheme="minorHAnsi"/>
          <w:color w:val="000000" w:themeColor="text1"/>
          <w:sz w:val="20"/>
          <w:szCs w:val="20"/>
          <w:lang w:val="sr-Cyrl-BA" w:eastAsia="sr-Latn-RS"/>
        </w:rPr>
        <w:t xml:space="preserve"> су </w:t>
      </w:r>
      <w:r w:rsidR="006F13EC" w:rsidRPr="00B50FBE">
        <w:rPr>
          <w:rFonts w:asciiTheme="minorHAnsi" w:hAnsiTheme="minorHAnsi"/>
          <w:color w:val="000000" w:themeColor="text1"/>
          <w:sz w:val="20"/>
          <w:szCs w:val="20"/>
          <w:lang w:val="sr-Cyrl-BA" w:eastAsia="sr-Latn-RS"/>
        </w:rPr>
        <w:t xml:space="preserve">за 80% у односу на план, </w:t>
      </w:r>
      <w:r w:rsidRPr="00B50FBE">
        <w:rPr>
          <w:rFonts w:asciiTheme="minorHAnsi" w:hAnsiTheme="minorHAnsi"/>
          <w:color w:val="000000" w:themeColor="text1"/>
          <w:sz w:val="20"/>
          <w:szCs w:val="20"/>
          <w:lang w:val="sr-Cyrl-BA" w:eastAsia="sr-Latn-RS"/>
        </w:rPr>
        <w:t>односно 160.288,35 у апсолутном износу.</w:t>
      </w:r>
      <w:r w:rsidR="00713AF5" w:rsidRPr="00B50FBE">
        <w:rPr>
          <w:rFonts w:asciiTheme="minorHAnsi" w:hAnsiTheme="minorHAnsi"/>
          <w:color w:val="000000" w:themeColor="text1"/>
          <w:sz w:val="20"/>
          <w:szCs w:val="20"/>
          <w:lang w:val="sr-Cyrl-CS" w:eastAsia="sr-Cyrl-CS"/>
        </w:rPr>
        <w:t xml:space="preserve"> Узрок</w:t>
      </w:r>
      <w:r w:rsidR="006F13EC" w:rsidRPr="00B50FBE">
        <w:rPr>
          <w:rFonts w:asciiTheme="minorHAnsi" w:hAnsiTheme="minorHAnsi"/>
          <w:color w:val="000000" w:themeColor="text1"/>
          <w:sz w:val="20"/>
          <w:szCs w:val="20"/>
          <w:lang w:val="sr-Cyrl-CS" w:eastAsia="sr-Cyrl-CS"/>
        </w:rPr>
        <w:t xml:space="preserve"> значајног одступања од планираног износа је </w:t>
      </w:r>
      <w:r w:rsidR="00713AF5" w:rsidRPr="00B50FBE">
        <w:rPr>
          <w:rFonts w:asciiTheme="minorHAnsi" w:hAnsiTheme="minorHAnsi"/>
          <w:color w:val="000000" w:themeColor="text1"/>
          <w:sz w:val="20"/>
          <w:szCs w:val="20"/>
          <w:lang w:val="sr-Cyrl-CS" w:eastAsia="sr-Cyrl-CS"/>
        </w:rPr>
        <w:t>погоршање финансијске позиције и неуредно измирење обавеза од</w:t>
      </w:r>
      <w:r w:rsidR="00687171" w:rsidRPr="00B50FBE">
        <w:rPr>
          <w:rFonts w:asciiTheme="minorHAnsi" w:hAnsiTheme="minorHAnsi"/>
          <w:color w:val="000000" w:themeColor="text1"/>
          <w:sz w:val="20"/>
          <w:szCs w:val="20"/>
          <w:lang w:val="sr-Cyrl-CS" w:eastAsia="sr-Cyrl-CS"/>
        </w:rPr>
        <w:t xml:space="preserve">ређеног броја </w:t>
      </w:r>
      <w:r w:rsidR="00713AF5" w:rsidRPr="00B50FBE">
        <w:rPr>
          <w:rFonts w:asciiTheme="minorHAnsi" w:hAnsiTheme="minorHAnsi"/>
          <w:color w:val="000000" w:themeColor="text1"/>
          <w:sz w:val="20"/>
          <w:szCs w:val="20"/>
          <w:lang w:val="sr-Cyrl-CS" w:eastAsia="sr-Cyrl-CS"/>
        </w:rPr>
        <w:t xml:space="preserve"> клијената</w:t>
      </w:r>
      <w:r w:rsidR="00F04350" w:rsidRPr="00B50FBE">
        <w:rPr>
          <w:rFonts w:asciiTheme="minorHAnsi" w:hAnsiTheme="minorHAnsi"/>
          <w:color w:val="000000" w:themeColor="text1"/>
          <w:sz w:val="20"/>
          <w:szCs w:val="20"/>
          <w:lang w:val="sr-Cyrl-CS" w:eastAsia="sr-Cyrl-CS"/>
        </w:rPr>
        <w:t xml:space="preserve"> у току године</w:t>
      </w:r>
      <w:r w:rsidR="00713AF5" w:rsidRPr="00B50FBE">
        <w:rPr>
          <w:rFonts w:asciiTheme="minorHAnsi" w:hAnsiTheme="minorHAnsi"/>
          <w:color w:val="000000" w:themeColor="text1"/>
          <w:sz w:val="20"/>
          <w:szCs w:val="20"/>
          <w:lang w:val="sr-Cyrl-CS" w:eastAsia="sr-Cyrl-CS"/>
        </w:rPr>
        <w:t xml:space="preserve">, због чега су </w:t>
      </w:r>
      <w:r w:rsidR="00F04350" w:rsidRPr="00B50FBE">
        <w:rPr>
          <w:rFonts w:asciiTheme="minorHAnsi" w:hAnsiTheme="minorHAnsi"/>
          <w:color w:val="000000" w:themeColor="text1"/>
          <w:sz w:val="20"/>
          <w:szCs w:val="20"/>
          <w:lang w:val="sr-Cyrl-CS" w:eastAsia="sr-Cyrl-CS"/>
        </w:rPr>
        <w:t xml:space="preserve">извршена </w:t>
      </w:r>
      <w:r w:rsidR="00713AF5" w:rsidRPr="00B50FBE">
        <w:rPr>
          <w:rFonts w:asciiTheme="minorHAnsi" w:hAnsiTheme="minorHAnsi"/>
          <w:color w:val="000000" w:themeColor="text1"/>
          <w:sz w:val="20"/>
          <w:szCs w:val="20"/>
          <w:lang w:val="sr-Cyrl-CS" w:eastAsia="sr-Cyrl-CS"/>
        </w:rPr>
        <w:t>резервисања за покриће губита</w:t>
      </w:r>
      <w:r w:rsidR="00462BE1">
        <w:rPr>
          <w:rFonts w:asciiTheme="minorHAnsi" w:hAnsiTheme="minorHAnsi"/>
          <w:color w:val="000000" w:themeColor="text1"/>
          <w:sz w:val="20"/>
          <w:szCs w:val="20"/>
          <w:lang w:val="sr-Cyrl-CS" w:eastAsia="sr-Cyrl-CS"/>
        </w:rPr>
        <w:t xml:space="preserve">ка </w:t>
      </w:r>
      <w:r w:rsidR="00F04350" w:rsidRPr="00B50FBE">
        <w:rPr>
          <w:rFonts w:asciiTheme="minorHAnsi" w:hAnsiTheme="minorHAnsi"/>
          <w:color w:val="000000" w:themeColor="text1"/>
          <w:sz w:val="20"/>
          <w:szCs w:val="20"/>
          <w:lang w:val="sr-Cyrl-CS" w:eastAsia="sr-Cyrl-CS"/>
        </w:rPr>
        <w:t xml:space="preserve"> у складу са МСФИ 9.</w:t>
      </w:r>
      <w:r w:rsidR="00713AF5" w:rsidRPr="00B50FBE">
        <w:rPr>
          <w:rFonts w:asciiTheme="minorHAnsi" w:hAnsiTheme="minorHAnsi"/>
          <w:color w:val="000000" w:themeColor="text1"/>
          <w:sz w:val="20"/>
          <w:szCs w:val="20"/>
          <w:lang w:val="sr-Cyrl-CS" w:eastAsia="sr-Cyrl-CS"/>
        </w:rPr>
        <w:t xml:space="preserve"> </w:t>
      </w:r>
    </w:p>
    <w:p w:rsidR="00C765E8" w:rsidRDefault="00C765E8" w:rsidP="001538EF">
      <w:pPr>
        <w:rPr>
          <w:rFonts w:asciiTheme="minorHAnsi" w:hAnsiTheme="minorHAnsi"/>
          <w:b/>
          <w:color w:val="FF0000"/>
          <w:sz w:val="20"/>
          <w:szCs w:val="20"/>
          <w:lang w:val="sr-Cyrl-CS" w:eastAsia="sr-Cyrl-CS"/>
        </w:rPr>
      </w:pPr>
    </w:p>
    <w:p w:rsidR="001538EF" w:rsidRPr="00C765E8" w:rsidRDefault="007C3977" w:rsidP="001538EF">
      <w:pPr>
        <w:rPr>
          <w:rFonts w:asciiTheme="minorHAnsi" w:hAnsiTheme="minorHAnsi"/>
          <w:color w:val="auto"/>
          <w:sz w:val="20"/>
          <w:szCs w:val="20"/>
          <w:lang w:val="sr-Cyrl-BA" w:eastAsia="sr-Cyrl-CS"/>
        </w:rPr>
      </w:pPr>
      <w:r w:rsidRPr="00C765E8">
        <w:rPr>
          <w:rFonts w:asciiTheme="minorHAnsi" w:hAnsiTheme="minorHAnsi"/>
          <w:color w:val="auto"/>
          <w:sz w:val="20"/>
          <w:szCs w:val="20"/>
          <w:lang w:val="sr-Cyrl-CS" w:eastAsia="sr-Cyrl-CS"/>
        </w:rPr>
        <w:t xml:space="preserve">Највећи дио трошкова </w:t>
      </w:r>
      <w:r w:rsidR="00093857" w:rsidRPr="00C765E8">
        <w:rPr>
          <w:rFonts w:asciiTheme="minorHAnsi" w:hAnsiTheme="minorHAnsi"/>
          <w:color w:val="auto"/>
          <w:sz w:val="20"/>
          <w:szCs w:val="20"/>
          <w:lang w:val="sr-Cyrl-CS" w:eastAsia="sr-Cyrl-CS"/>
        </w:rPr>
        <w:t>Гара</w:t>
      </w:r>
      <w:r w:rsidR="00235313" w:rsidRPr="00C765E8">
        <w:rPr>
          <w:rFonts w:asciiTheme="minorHAnsi" w:hAnsiTheme="minorHAnsi"/>
          <w:color w:val="auto"/>
          <w:sz w:val="20"/>
          <w:szCs w:val="20"/>
          <w:lang w:val="sr-Cyrl-CS" w:eastAsia="sr-Cyrl-CS"/>
        </w:rPr>
        <w:t>нт</w:t>
      </w:r>
      <w:r w:rsidR="00093857" w:rsidRPr="00C765E8">
        <w:rPr>
          <w:rFonts w:asciiTheme="minorHAnsi" w:hAnsiTheme="minorHAnsi"/>
          <w:color w:val="auto"/>
          <w:sz w:val="20"/>
          <w:szCs w:val="20"/>
          <w:lang w:val="sr-Cyrl-CS" w:eastAsia="sr-Cyrl-CS"/>
        </w:rPr>
        <w:t>н</w:t>
      </w:r>
      <w:r w:rsidR="00235313" w:rsidRPr="00C765E8">
        <w:rPr>
          <w:rFonts w:asciiTheme="minorHAnsi" w:hAnsiTheme="minorHAnsi"/>
          <w:color w:val="auto"/>
          <w:sz w:val="20"/>
          <w:szCs w:val="20"/>
          <w:lang w:val="sr-Cyrl-CS" w:eastAsia="sr-Cyrl-CS"/>
        </w:rPr>
        <w:t xml:space="preserve">ог фонда </w:t>
      </w:r>
      <w:r w:rsidRPr="00C765E8">
        <w:rPr>
          <w:rFonts w:asciiTheme="minorHAnsi" w:hAnsiTheme="minorHAnsi"/>
          <w:color w:val="auto"/>
          <w:sz w:val="20"/>
          <w:szCs w:val="20"/>
          <w:lang w:val="sr-Cyrl-CS" w:eastAsia="sr-Cyrl-CS"/>
        </w:rPr>
        <w:t xml:space="preserve">се односи на </w:t>
      </w:r>
      <w:r w:rsidRPr="00C765E8">
        <w:rPr>
          <w:rFonts w:asciiTheme="minorHAnsi" w:hAnsiTheme="minorHAnsi"/>
          <w:b/>
          <w:color w:val="auto"/>
          <w:sz w:val="20"/>
          <w:szCs w:val="20"/>
          <w:lang w:val="sr-Cyrl-CS" w:eastAsia="sr-Cyrl-CS"/>
        </w:rPr>
        <w:t>трошкове зарада, накнада зарада и остала лична примања</w:t>
      </w:r>
      <w:r w:rsidR="00BD6347" w:rsidRPr="00C765E8">
        <w:rPr>
          <w:rFonts w:asciiTheme="minorHAnsi" w:hAnsiTheme="minorHAnsi"/>
          <w:color w:val="auto"/>
          <w:sz w:val="20"/>
          <w:szCs w:val="20"/>
          <w:lang w:val="sr-Cyrl-CS" w:eastAsia="sr-Cyrl-CS"/>
        </w:rPr>
        <w:t xml:space="preserve">. Ова група трошкова </w:t>
      </w:r>
      <w:r w:rsidRPr="00C765E8">
        <w:rPr>
          <w:rFonts w:asciiTheme="minorHAnsi" w:hAnsiTheme="minorHAnsi"/>
          <w:color w:val="auto"/>
          <w:sz w:val="20"/>
          <w:szCs w:val="20"/>
          <w:lang w:val="sr-Cyrl-CS" w:eastAsia="sr-Cyrl-CS"/>
        </w:rPr>
        <w:t>је у 202</w:t>
      </w:r>
      <w:r w:rsidR="00C765E8" w:rsidRPr="00C765E8">
        <w:rPr>
          <w:rFonts w:asciiTheme="minorHAnsi" w:hAnsiTheme="minorHAnsi"/>
          <w:color w:val="auto"/>
          <w:sz w:val="20"/>
          <w:szCs w:val="20"/>
          <w:lang w:val="sr-Cyrl-CS" w:eastAsia="sr-Cyrl-CS"/>
        </w:rPr>
        <w:t>4</w:t>
      </w:r>
      <w:r w:rsidRPr="00C765E8">
        <w:rPr>
          <w:rFonts w:asciiTheme="minorHAnsi" w:hAnsiTheme="minorHAnsi"/>
          <w:color w:val="auto"/>
          <w:sz w:val="20"/>
          <w:szCs w:val="20"/>
          <w:lang w:val="sr-Cyrl-CS" w:eastAsia="sr-Cyrl-CS"/>
        </w:rPr>
        <w:t>. години остварен</w:t>
      </w:r>
      <w:r w:rsidR="00BD6347" w:rsidRPr="00C765E8">
        <w:rPr>
          <w:rFonts w:asciiTheme="minorHAnsi" w:hAnsiTheme="minorHAnsi"/>
          <w:color w:val="auto"/>
          <w:sz w:val="20"/>
          <w:szCs w:val="20"/>
          <w:lang w:val="sr-Cyrl-CS" w:eastAsia="sr-Cyrl-CS"/>
        </w:rPr>
        <w:t>а</w:t>
      </w:r>
      <w:r w:rsidRPr="00C765E8">
        <w:rPr>
          <w:rFonts w:asciiTheme="minorHAnsi" w:hAnsiTheme="minorHAnsi"/>
          <w:color w:val="auto"/>
          <w:sz w:val="20"/>
          <w:szCs w:val="20"/>
          <w:lang w:val="sr-Cyrl-CS" w:eastAsia="sr-Cyrl-CS"/>
        </w:rPr>
        <w:t xml:space="preserve"> у износу од 1</w:t>
      </w:r>
      <w:r w:rsidR="00C765E8" w:rsidRPr="00C765E8">
        <w:rPr>
          <w:rFonts w:asciiTheme="minorHAnsi" w:hAnsiTheme="minorHAnsi"/>
          <w:color w:val="auto"/>
          <w:sz w:val="20"/>
          <w:szCs w:val="20"/>
          <w:lang w:val="sr-Cyrl-CS" w:eastAsia="sr-Cyrl-CS"/>
        </w:rPr>
        <w:t>.447.097,51</w:t>
      </w:r>
      <w:r w:rsidRPr="00C765E8">
        <w:rPr>
          <w:rFonts w:asciiTheme="minorHAnsi" w:hAnsiTheme="minorHAnsi"/>
          <w:color w:val="auto"/>
          <w:sz w:val="20"/>
          <w:szCs w:val="20"/>
          <w:lang w:val="sr-Cyrl-CS" w:eastAsia="sr-Cyrl-CS"/>
        </w:rPr>
        <w:t xml:space="preserve"> КМ</w:t>
      </w:r>
      <w:r w:rsidR="00BD6347" w:rsidRPr="00C765E8">
        <w:rPr>
          <w:rFonts w:asciiTheme="minorHAnsi" w:hAnsiTheme="minorHAnsi"/>
          <w:color w:val="auto"/>
          <w:sz w:val="20"/>
          <w:szCs w:val="20"/>
          <w:lang w:val="sr-Cyrl-CS" w:eastAsia="sr-Cyrl-CS"/>
        </w:rPr>
        <w:t xml:space="preserve"> и чини </w:t>
      </w:r>
      <w:r w:rsidR="00C765E8" w:rsidRPr="00C765E8">
        <w:rPr>
          <w:rFonts w:asciiTheme="minorHAnsi" w:hAnsiTheme="minorHAnsi"/>
          <w:color w:val="auto"/>
          <w:sz w:val="20"/>
          <w:szCs w:val="20"/>
          <w:lang w:val="sr-Cyrl-CS" w:eastAsia="sr-Cyrl-CS"/>
        </w:rPr>
        <w:t>78,84</w:t>
      </w:r>
      <w:r w:rsidR="00BD6347" w:rsidRPr="00C765E8">
        <w:rPr>
          <w:rFonts w:asciiTheme="minorHAnsi" w:hAnsiTheme="minorHAnsi"/>
          <w:color w:val="auto"/>
          <w:sz w:val="20"/>
          <w:szCs w:val="20"/>
          <w:lang w:val="sr-Cyrl-CS" w:eastAsia="sr-Cyrl-CS"/>
        </w:rPr>
        <w:t>% трошкова пословања</w:t>
      </w:r>
      <w:r w:rsidRPr="00C765E8">
        <w:rPr>
          <w:rFonts w:asciiTheme="minorHAnsi" w:hAnsiTheme="minorHAnsi"/>
          <w:color w:val="auto"/>
          <w:sz w:val="20"/>
          <w:szCs w:val="20"/>
          <w:lang w:val="sr-Cyrl-CS" w:eastAsia="sr-Cyrl-CS"/>
        </w:rPr>
        <w:t>,</w:t>
      </w:r>
      <w:r w:rsidR="00A6503C" w:rsidRPr="00C765E8">
        <w:rPr>
          <w:rFonts w:asciiTheme="minorHAnsi" w:hAnsiTheme="minorHAnsi"/>
          <w:color w:val="auto"/>
          <w:sz w:val="20"/>
          <w:szCs w:val="20"/>
          <w:lang w:val="sr-Cyrl-CS" w:eastAsia="sr-Cyrl-CS"/>
        </w:rPr>
        <w:t xml:space="preserve"> односно </w:t>
      </w:r>
      <w:r w:rsidR="00BC4DFD">
        <w:rPr>
          <w:rFonts w:asciiTheme="minorHAnsi" w:hAnsiTheme="minorHAnsi"/>
          <w:color w:val="auto"/>
          <w:sz w:val="20"/>
          <w:szCs w:val="20"/>
          <w:lang w:val="sr-Cyrl-CS" w:eastAsia="sr-Cyrl-CS"/>
        </w:rPr>
        <w:t xml:space="preserve">више од половине </w:t>
      </w:r>
      <w:r w:rsidR="00A6503C" w:rsidRPr="00C765E8">
        <w:rPr>
          <w:rFonts w:asciiTheme="minorHAnsi" w:hAnsiTheme="minorHAnsi"/>
          <w:color w:val="auto"/>
          <w:sz w:val="20"/>
          <w:szCs w:val="20"/>
          <w:lang w:val="sr-Cyrl-CS" w:eastAsia="sr-Cyrl-CS"/>
        </w:rPr>
        <w:t>укупних расхода у 202</w:t>
      </w:r>
      <w:r w:rsidR="00C765E8" w:rsidRPr="00C765E8">
        <w:rPr>
          <w:rFonts w:asciiTheme="minorHAnsi" w:hAnsiTheme="minorHAnsi"/>
          <w:color w:val="auto"/>
          <w:sz w:val="20"/>
          <w:szCs w:val="20"/>
          <w:lang w:val="sr-Cyrl-CS" w:eastAsia="sr-Cyrl-CS"/>
        </w:rPr>
        <w:t>4</w:t>
      </w:r>
      <w:r w:rsidR="00BC4DFD">
        <w:rPr>
          <w:rFonts w:asciiTheme="minorHAnsi" w:hAnsiTheme="minorHAnsi"/>
          <w:color w:val="auto"/>
          <w:sz w:val="20"/>
          <w:szCs w:val="20"/>
          <w:lang w:val="sr-Cyrl-CS" w:eastAsia="sr-Cyrl-CS"/>
        </w:rPr>
        <w:t>. години (</w:t>
      </w:r>
      <w:r w:rsidR="00BC4DFD" w:rsidRPr="00C765E8">
        <w:rPr>
          <w:rFonts w:asciiTheme="minorHAnsi" w:hAnsiTheme="minorHAnsi"/>
          <w:color w:val="auto"/>
          <w:sz w:val="20"/>
          <w:szCs w:val="20"/>
          <w:lang w:val="sr-Cyrl-CS" w:eastAsia="sr-Cyrl-CS"/>
        </w:rPr>
        <w:t>54,46%</w:t>
      </w:r>
      <w:r w:rsidR="00BC4DFD">
        <w:rPr>
          <w:rFonts w:asciiTheme="minorHAnsi" w:hAnsiTheme="minorHAnsi"/>
          <w:color w:val="auto"/>
          <w:sz w:val="20"/>
          <w:szCs w:val="20"/>
          <w:lang w:val="sr-Cyrl-CS" w:eastAsia="sr-Cyrl-CS"/>
        </w:rPr>
        <w:t>).</w:t>
      </w:r>
      <w:r w:rsidR="00BC4DFD" w:rsidRPr="00C765E8">
        <w:rPr>
          <w:rFonts w:asciiTheme="minorHAnsi" w:hAnsiTheme="minorHAnsi"/>
          <w:color w:val="auto"/>
          <w:sz w:val="20"/>
          <w:szCs w:val="20"/>
          <w:lang w:val="sr-Cyrl-CS" w:eastAsia="sr-Cyrl-CS"/>
        </w:rPr>
        <w:t xml:space="preserve"> </w:t>
      </w:r>
      <w:r w:rsidR="00A6503C" w:rsidRPr="00C765E8">
        <w:rPr>
          <w:rFonts w:asciiTheme="minorHAnsi" w:hAnsiTheme="minorHAnsi"/>
          <w:color w:val="auto"/>
          <w:sz w:val="20"/>
          <w:szCs w:val="20"/>
          <w:lang w:val="sr-Cyrl-CS" w:eastAsia="sr-Cyrl-CS"/>
        </w:rPr>
        <w:t>Ови трошкови</w:t>
      </w:r>
      <w:r w:rsidRPr="00C765E8">
        <w:rPr>
          <w:rFonts w:asciiTheme="minorHAnsi" w:hAnsiTheme="minorHAnsi"/>
          <w:color w:val="auto"/>
          <w:sz w:val="20"/>
          <w:szCs w:val="20"/>
          <w:lang w:val="sr-Cyrl-CS" w:eastAsia="sr-Cyrl-CS"/>
        </w:rPr>
        <w:t xml:space="preserve"> обухвата</w:t>
      </w:r>
      <w:r w:rsidR="00A6503C" w:rsidRPr="00C765E8">
        <w:rPr>
          <w:rFonts w:asciiTheme="minorHAnsi" w:hAnsiTheme="minorHAnsi"/>
          <w:color w:val="auto"/>
          <w:sz w:val="20"/>
          <w:szCs w:val="20"/>
          <w:lang w:val="sr-Cyrl-CS" w:eastAsia="sr-Cyrl-CS"/>
        </w:rPr>
        <w:t>ју</w:t>
      </w:r>
      <w:r w:rsidRPr="00C765E8">
        <w:rPr>
          <w:rFonts w:asciiTheme="minorHAnsi" w:hAnsiTheme="minorHAnsi"/>
          <w:color w:val="auto"/>
          <w:sz w:val="20"/>
          <w:szCs w:val="20"/>
          <w:lang w:val="sr-Cyrl-CS" w:eastAsia="sr-Cyrl-CS"/>
        </w:rPr>
        <w:t xml:space="preserve"> трошкове зарада, накнада зарада, трошкове пореза и доприноса</w:t>
      </w:r>
      <w:r w:rsidR="00BD6347" w:rsidRPr="00C765E8">
        <w:rPr>
          <w:rFonts w:asciiTheme="minorHAnsi" w:hAnsiTheme="minorHAnsi"/>
          <w:color w:val="auto"/>
          <w:sz w:val="20"/>
          <w:szCs w:val="20"/>
          <w:lang w:val="sr-Cyrl-CS" w:eastAsia="sr-Cyrl-CS"/>
        </w:rPr>
        <w:t xml:space="preserve">, </w:t>
      </w:r>
      <w:r w:rsidRPr="00C765E8">
        <w:rPr>
          <w:rFonts w:asciiTheme="minorHAnsi" w:hAnsiTheme="minorHAnsi"/>
          <w:color w:val="auto"/>
          <w:sz w:val="20"/>
          <w:szCs w:val="20"/>
          <w:lang w:val="sr-Cyrl-CS" w:eastAsia="sr-Cyrl-CS"/>
        </w:rPr>
        <w:t>накнада за привремен</w:t>
      </w:r>
      <w:r w:rsidR="00BD6347" w:rsidRPr="00C765E8">
        <w:rPr>
          <w:rFonts w:asciiTheme="minorHAnsi" w:hAnsiTheme="minorHAnsi"/>
          <w:color w:val="auto"/>
          <w:sz w:val="20"/>
          <w:szCs w:val="20"/>
          <w:lang w:val="sr-Cyrl-CS" w:eastAsia="sr-Cyrl-CS"/>
        </w:rPr>
        <w:t>е</w:t>
      </w:r>
      <w:r w:rsidRPr="00C765E8">
        <w:rPr>
          <w:rFonts w:asciiTheme="minorHAnsi" w:hAnsiTheme="minorHAnsi"/>
          <w:color w:val="auto"/>
          <w:sz w:val="20"/>
          <w:szCs w:val="20"/>
          <w:lang w:val="sr-Cyrl-CS" w:eastAsia="sr-Cyrl-CS"/>
        </w:rPr>
        <w:t xml:space="preserve"> и повремен</w:t>
      </w:r>
      <w:r w:rsidR="00BD6347" w:rsidRPr="00C765E8">
        <w:rPr>
          <w:rFonts w:asciiTheme="minorHAnsi" w:hAnsiTheme="minorHAnsi"/>
          <w:color w:val="auto"/>
          <w:sz w:val="20"/>
          <w:szCs w:val="20"/>
          <w:lang w:val="sr-Cyrl-CS" w:eastAsia="sr-Cyrl-CS"/>
        </w:rPr>
        <w:t>е</w:t>
      </w:r>
      <w:r w:rsidRPr="00C765E8">
        <w:rPr>
          <w:rFonts w:asciiTheme="minorHAnsi" w:hAnsiTheme="minorHAnsi"/>
          <w:color w:val="auto"/>
          <w:sz w:val="20"/>
          <w:szCs w:val="20"/>
          <w:lang w:val="sr-Cyrl-CS" w:eastAsia="sr-Cyrl-CS"/>
        </w:rPr>
        <w:t xml:space="preserve"> послове</w:t>
      </w:r>
      <w:r w:rsidR="00BD6347" w:rsidRPr="00C765E8">
        <w:rPr>
          <w:rFonts w:asciiTheme="minorHAnsi" w:hAnsiTheme="minorHAnsi"/>
          <w:color w:val="auto"/>
          <w:sz w:val="20"/>
          <w:szCs w:val="20"/>
          <w:lang w:val="sr-Cyrl-CS" w:eastAsia="sr-Cyrl-CS"/>
        </w:rPr>
        <w:t xml:space="preserve"> (</w:t>
      </w:r>
      <w:r w:rsidR="00BC4DFD">
        <w:rPr>
          <w:rFonts w:asciiTheme="minorHAnsi" w:hAnsiTheme="minorHAnsi"/>
          <w:color w:val="auto"/>
          <w:sz w:val="20"/>
          <w:szCs w:val="20"/>
          <w:lang w:val="sr-Cyrl-BA" w:eastAsia="sr-Cyrl-CS"/>
        </w:rPr>
        <w:t>уговори о дјелу),</w:t>
      </w:r>
      <w:r w:rsidR="00BD6347" w:rsidRPr="00C765E8">
        <w:rPr>
          <w:rFonts w:asciiTheme="minorHAnsi" w:hAnsiTheme="minorHAnsi"/>
          <w:color w:val="auto"/>
          <w:sz w:val="20"/>
          <w:szCs w:val="20"/>
          <w:lang w:val="sr-Cyrl-BA" w:eastAsia="sr-Cyrl-CS"/>
        </w:rPr>
        <w:t xml:space="preserve"> </w:t>
      </w:r>
      <w:r w:rsidR="00BD6347" w:rsidRPr="00C765E8">
        <w:rPr>
          <w:rFonts w:asciiTheme="minorHAnsi" w:hAnsiTheme="minorHAnsi"/>
          <w:color w:val="auto"/>
          <w:sz w:val="20"/>
          <w:szCs w:val="20"/>
          <w:lang w:val="sr-Cyrl-CS" w:eastAsia="sr-Cyrl-CS"/>
        </w:rPr>
        <w:t>те остале личне расходе (</w:t>
      </w:r>
      <w:r w:rsidR="00B31B68">
        <w:rPr>
          <w:rFonts w:asciiTheme="minorHAnsi" w:hAnsiTheme="minorHAnsi"/>
          <w:color w:val="auto"/>
          <w:sz w:val="20"/>
          <w:szCs w:val="20"/>
          <w:lang w:val="sr-Cyrl-BA" w:eastAsia="sr-Cyrl-CS"/>
        </w:rPr>
        <w:t>трошкови превоза, горива</w:t>
      </w:r>
      <w:r w:rsidR="00BC4DFD">
        <w:rPr>
          <w:rFonts w:asciiTheme="minorHAnsi" w:hAnsiTheme="minorHAnsi"/>
          <w:color w:val="auto"/>
          <w:sz w:val="20"/>
          <w:szCs w:val="20"/>
          <w:lang w:val="sr-Cyrl-BA" w:eastAsia="sr-Cyrl-CS"/>
        </w:rPr>
        <w:t>, отпремнина, смјештаја и хране на службеном путу</w:t>
      </w:r>
      <w:r w:rsidR="00235313" w:rsidRPr="00C765E8">
        <w:rPr>
          <w:rFonts w:asciiTheme="minorHAnsi" w:hAnsiTheme="minorHAnsi"/>
          <w:color w:val="auto"/>
          <w:sz w:val="20"/>
          <w:szCs w:val="20"/>
          <w:lang w:val="sr-Cyrl-BA" w:eastAsia="sr-Cyrl-CS"/>
        </w:rPr>
        <w:t xml:space="preserve">). Посматрано у односу на план, ови трошкови су остварени у износу који је за </w:t>
      </w:r>
      <w:r w:rsidR="00BC4DFD">
        <w:rPr>
          <w:rFonts w:asciiTheme="minorHAnsi" w:hAnsiTheme="minorHAnsi"/>
          <w:color w:val="auto"/>
          <w:sz w:val="20"/>
          <w:szCs w:val="20"/>
          <w:lang w:val="sr-Cyrl-BA" w:eastAsia="sr-Cyrl-CS"/>
        </w:rPr>
        <w:t>17,28</w:t>
      </w:r>
      <w:r w:rsidR="00235313" w:rsidRPr="00C765E8">
        <w:rPr>
          <w:rFonts w:asciiTheme="minorHAnsi" w:hAnsiTheme="minorHAnsi"/>
          <w:color w:val="auto"/>
          <w:sz w:val="20"/>
          <w:szCs w:val="20"/>
          <w:lang w:val="sr-Cyrl-BA" w:eastAsia="sr-Cyrl-CS"/>
        </w:rPr>
        <w:t>% мањи од планираног.</w:t>
      </w:r>
      <w:r w:rsidR="008F5013">
        <w:rPr>
          <w:rFonts w:asciiTheme="minorHAnsi" w:hAnsiTheme="minorHAnsi"/>
          <w:color w:val="auto"/>
          <w:sz w:val="20"/>
          <w:szCs w:val="20"/>
          <w:lang w:val="sr-Cyrl-BA" w:eastAsia="sr-Cyrl-CS"/>
        </w:rPr>
        <w:t xml:space="preserve"> </w:t>
      </w:r>
      <w:r w:rsidR="00A12076">
        <w:rPr>
          <w:rFonts w:asciiTheme="minorHAnsi" w:hAnsiTheme="minorHAnsi"/>
          <w:color w:val="auto"/>
          <w:sz w:val="20"/>
          <w:szCs w:val="20"/>
          <w:lang w:val="sr-Cyrl-BA" w:eastAsia="sr-Cyrl-CS"/>
        </w:rPr>
        <w:t>Ова група трошкова је мања и у односу на претходну годину за 61.684,32 КМ.</w:t>
      </w:r>
    </w:p>
    <w:p w:rsidR="00C765E8" w:rsidRPr="008B5A35" w:rsidRDefault="00C765E8" w:rsidP="001538EF">
      <w:pPr>
        <w:rPr>
          <w:rFonts w:asciiTheme="minorHAnsi" w:hAnsiTheme="minorHAnsi"/>
          <w:color w:val="FF0000"/>
          <w:sz w:val="20"/>
          <w:szCs w:val="20"/>
          <w:lang w:val="sr-Cyrl-CS" w:eastAsia="sr-Cyrl-CS"/>
        </w:rPr>
      </w:pPr>
    </w:p>
    <w:p w:rsidR="00D15B00" w:rsidRDefault="00836EF2" w:rsidP="00836EF2">
      <w:pPr>
        <w:rPr>
          <w:rFonts w:asciiTheme="minorHAnsi" w:hAnsiTheme="minorHAnsi"/>
          <w:color w:val="000000" w:themeColor="text1"/>
          <w:sz w:val="20"/>
          <w:szCs w:val="20"/>
          <w:lang w:val="sr-Cyrl-BA" w:eastAsia="sr-Cyrl-CS"/>
        </w:rPr>
      </w:pPr>
      <w:r w:rsidRPr="000600A0">
        <w:rPr>
          <w:rFonts w:asciiTheme="minorHAnsi" w:hAnsiTheme="minorHAnsi"/>
          <w:b/>
          <w:color w:val="000000" w:themeColor="text1"/>
          <w:sz w:val="20"/>
          <w:szCs w:val="20"/>
          <w:lang w:val="sr-Cyrl-BA" w:eastAsia="sr-Cyrl-CS"/>
        </w:rPr>
        <w:t>Нематеријални трошкови</w:t>
      </w:r>
      <w:r w:rsidRPr="000600A0">
        <w:rPr>
          <w:rFonts w:asciiTheme="minorHAnsi" w:hAnsiTheme="minorHAnsi"/>
          <w:color w:val="000000" w:themeColor="text1"/>
          <w:sz w:val="20"/>
          <w:szCs w:val="20"/>
          <w:lang w:val="sr-Cyrl-BA" w:eastAsia="sr-Cyrl-CS"/>
        </w:rPr>
        <w:t xml:space="preserve"> </w:t>
      </w:r>
      <w:r w:rsidR="007851DE" w:rsidRPr="000600A0">
        <w:rPr>
          <w:rFonts w:asciiTheme="minorHAnsi" w:hAnsiTheme="minorHAnsi"/>
          <w:color w:val="000000" w:themeColor="text1"/>
          <w:sz w:val="20"/>
          <w:szCs w:val="20"/>
          <w:lang w:val="sr-Cyrl-BA" w:eastAsia="sr-Cyrl-CS"/>
        </w:rPr>
        <w:t xml:space="preserve">су остварени у износу од </w:t>
      </w:r>
      <w:r w:rsidR="000600A0" w:rsidRPr="000600A0">
        <w:rPr>
          <w:rFonts w:asciiTheme="minorHAnsi" w:hAnsiTheme="minorHAnsi"/>
          <w:color w:val="000000" w:themeColor="text1"/>
          <w:sz w:val="20"/>
          <w:szCs w:val="20"/>
          <w:lang w:val="sr-Cyrl-BA" w:eastAsia="sr-Cyrl-CS"/>
        </w:rPr>
        <w:t>188.215,18 КМ.  Н</w:t>
      </w:r>
      <w:r w:rsidR="00D15B00" w:rsidRPr="000600A0">
        <w:rPr>
          <w:rFonts w:asciiTheme="minorHAnsi" w:hAnsiTheme="minorHAnsi"/>
          <w:color w:val="000000" w:themeColor="text1"/>
          <w:sz w:val="20"/>
          <w:szCs w:val="20"/>
          <w:lang w:val="sr-Cyrl-BA" w:eastAsia="sr-Cyrl-CS"/>
        </w:rPr>
        <w:t>ајзначајније ставке у оквиру ове групе су: трошкови адвокатских услуга, трошак чланарине у Зеленом навигатору</w:t>
      </w:r>
      <w:r w:rsidR="000600A0" w:rsidRPr="000600A0">
        <w:rPr>
          <w:rFonts w:asciiTheme="minorHAnsi" w:hAnsiTheme="minorHAnsi"/>
          <w:color w:val="000000" w:themeColor="text1"/>
          <w:sz w:val="20"/>
          <w:szCs w:val="20"/>
          <w:lang w:val="sr-Cyrl-BA" w:eastAsia="sr-Cyrl-CS"/>
        </w:rPr>
        <w:t xml:space="preserve"> и Европској асоцијацији гарантних институција (АЕЦМ)</w:t>
      </w:r>
      <w:r w:rsidR="00471EC5">
        <w:rPr>
          <w:rFonts w:asciiTheme="minorHAnsi" w:hAnsiTheme="minorHAnsi"/>
          <w:color w:val="000000" w:themeColor="text1"/>
          <w:sz w:val="20"/>
          <w:szCs w:val="20"/>
          <w:lang w:val="sr-Cyrl-BA" w:eastAsia="sr-Cyrl-CS"/>
        </w:rPr>
        <w:t xml:space="preserve">, трошкови репрезентације, </w:t>
      </w:r>
      <w:r w:rsidR="00D15B00" w:rsidRPr="000600A0">
        <w:rPr>
          <w:rFonts w:asciiTheme="minorHAnsi" w:hAnsiTheme="minorHAnsi"/>
          <w:color w:val="000000" w:themeColor="text1"/>
          <w:sz w:val="20"/>
          <w:szCs w:val="20"/>
          <w:lang w:val="sr-Cyrl-BA" w:eastAsia="sr-Cyrl-CS"/>
        </w:rPr>
        <w:t>трошкови ПТТ услуга у земљи</w:t>
      </w:r>
      <w:r w:rsidR="00471EC5">
        <w:rPr>
          <w:rFonts w:asciiTheme="minorHAnsi" w:hAnsiTheme="minorHAnsi"/>
          <w:color w:val="000000" w:themeColor="text1"/>
          <w:sz w:val="20"/>
          <w:szCs w:val="20"/>
          <w:lang w:val="sr-Cyrl-BA" w:eastAsia="sr-Cyrl-CS"/>
        </w:rPr>
        <w:t xml:space="preserve"> и трошкови објаве конкурса у Службеном гласнику</w:t>
      </w:r>
      <w:r w:rsidR="00D15B00" w:rsidRPr="000600A0">
        <w:rPr>
          <w:rFonts w:asciiTheme="minorHAnsi" w:hAnsiTheme="minorHAnsi"/>
          <w:color w:val="000000" w:themeColor="text1"/>
          <w:sz w:val="20"/>
          <w:szCs w:val="20"/>
          <w:lang w:val="sr-Cyrl-BA" w:eastAsia="sr-Cyrl-CS"/>
        </w:rPr>
        <w:t>. Наведене ставке заједно чине више од 80% остварених трошкова у овој категорији.</w:t>
      </w:r>
    </w:p>
    <w:p w:rsidR="000600A0" w:rsidRPr="000600A0" w:rsidRDefault="000600A0" w:rsidP="00836EF2">
      <w:pPr>
        <w:rPr>
          <w:rFonts w:asciiTheme="minorHAnsi" w:hAnsiTheme="minorHAnsi"/>
          <w:color w:val="000000" w:themeColor="text1"/>
          <w:sz w:val="20"/>
          <w:szCs w:val="20"/>
          <w:lang w:val="sr-Cyrl-BA" w:eastAsia="sr-Cyrl-CS"/>
        </w:rPr>
      </w:pPr>
    </w:p>
    <w:p w:rsidR="00836EF2" w:rsidRDefault="00D15B00" w:rsidP="00836EF2">
      <w:pPr>
        <w:rPr>
          <w:rFonts w:asciiTheme="minorHAnsi" w:hAnsiTheme="minorHAnsi"/>
          <w:color w:val="000000" w:themeColor="text1"/>
          <w:sz w:val="20"/>
          <w:szCs w:val="20"/>
          <w:lang w:val="sr-Cyrl-BA" w:eastAsia="sr-Cyrl-CS"/>
        </w:rPr>
      </w:pPr>
      <w:r w:rsidRPr="00471EC5">
        <w:rPr>
          <w:rFonts w:asciiTheme="minorHAnsi" w:hAnsiTheme="minorHAnsi"/>
          <w:b/>
          <w:color w:val="000000" w:themeColor="text1"/>
          <w:sz w:val="20"/>
          <w:szCs w:val="20"/>
          <w:lang w:val="sr-Cyrl-BA" w:eastAsia="sr-Cyrl-CS"/>
        </w:rPr>
        <w:t>О</w:t>
      </w:r>
      <w:r w:rsidR="00836EF2" w:rsidRPr="00471EC5">
        <w:rPr>
          <w:rFonts w:asciiTheme="minorHAnsi" w:hAnsiTheme="minorHAnsi"/>
          <w:b/>
          <w:color w:val="000000" w:themeColor="text1"/>
          <w:sz w:val="20"/>
          <w:szCs w:val="20"/>
          <w:lang w:val="sr-Cyrl-BA" w:eastAsia="sr-Cyrl-CS"/>
        </w:rPr>
        <w:t>стали трошкови</w:t>
      </w:r>
      <w:r w:rsidR="00836EF2" w:rsidRPr="00471EC5">
        <w:rPr>
          <w:rFonts w:asciiTheme="minorHAnsi" w:hAnsiTheme="minorHAnsi"/>
          <w:color w:val="000000" w:themeColor="text1"/>
          <w:sz w:val="20"/>
          <w:szCs w:val="20"/>
          <w:lang w:val="sr-Cyrl-BA" w:eastAsia="sr-Cyrl-CS"/>
        </w:rPr>
        <w:t xml:space="preserve"> </w:t>
      </w:r>
      <w:r w:rsidRPr="00471EC5">
        <w:rPr>
          <w:rFonts w:asciiTheme="minorHAnsi" w:hAnsiTheme="minorHAnsi"/>
          <w:color w:val="000000" w:themeColor="text1"/>
          <w:sz w:val="20"/>
          <w:szCs w:val="20"/>
          <w:lang w:val="sr-Cyrl-BA" w:eastAsia="sr-Cyrl-CS"/>
        </w:rPr>
        <w:t>су износили</w:t>
      </w:r>
      <w:r w:rsidR="00584620" w:rsidRPr="00471EC5">
        <w:rPr>
          <w:rFonts w:asciiTheme="minorHAnsi" w:hAnsiTheme="minorHAnsi"/>
          <w:color w:val="000000" w:themeColor="text1"/>
          <w:sz w:val="20"/>
          <w:szCs w:val="20"/>
          <w:lang w:val="sr-Cyrl-BA" w:eastAsia="sr-Cyrl-CS"/>
        </w:rPr>
        <w:t xml:space="preserve"> </w:t>
      </w:r>
      <w:r w:rsidR="00471EC5" w:rsidRPr="00471EC5">
        <w:rPr>
          <w:rFonts w:asciiTheme="minorHAnsi" w:hAnsiTheme="minorHAnsi"/>
          <w:color w:val="000000" w:themeColor="text1"/>
          <w:sz w:val="20"/>
          <w:szCs w:val="20"/>
          <w:lang w:val="sr-Cyrl-BA" w:eastAsia="sr-Cyrl-CS"/>
        </w:rPr>
        <w:t>97.431,88</w:t>
      </w:r>
      <w:r w:rsidR="00584620" w:rsidRPr="00471EC5">
        <w:rPr>
          <w:rFonts w:asciiTheme="minorHAnsi" w:hAnsiTheme="minorHAnsi"/>
          <w:color w:val="000000" w:themeColor="text1"/>
          <w:sz w:val="20"/>
          <w:szCs w:val="20"/>
          <w:lang w:val="sr-Cyrl-BA" w:eastAsia="sr-Cyrl-CS"/>
        </w:rPr>
        <w:t>КМ. Највећи дио групе осталих трошкова (56.</w:t>
      </w:r>
      <w:r w:rsidR="00471EC5" w:rsidRPr="00471EC5">
        <w:rPr>
          <w:rFonts w:asciiTheme="minorHAnsi" w:hAnsiTheme="minorHAnsi"/>
          <w:color w:val="000000" w:themeColor="text1"/>
          <w:sz w:val="20"/>
          <w:szCs w:val="20"/>
          <w:lang w:val="sr-Cyrl-BA" w:eastAsia="sr-Cyrl-CS"/>
        </w:rPr>
        <w:t>567,98</w:t>
      </w:r>
      <w:r w:rsidR="00584620" w:rsidRPr="00471EC5">
        <w:rPr>
          <w:rFonts w:asciiTheme="minorHAnsi" w:hAnsiTheme="minorHAnsi"/>
          <w:color w:val="000000" w:themeColor="text1"/>
          <w:sz w:val="20"/>
          <w:szCs w:val="20"/>
          <w:lang w:val="sr-Cyrl-BA" w:eastAsia="sr-Cyrl-CS"/>
        </w:rPr>
        <w:t xml:space="preserve"> КМ) се односи на трошак закупа пословних просторија Фонда, које су у власништву Инвестиционо-развојне </w:t>
      </w:r>
      <w:r w:rsidR="00471EC5" w:rsidRPr="00471EC5">
        <w:rPr>
          <w:rFonts w:asciiTheme="minorHAnsi" w:hAnsiTheme="minorHAnsi"/>
          <w:color w:val="000000" w:themeColor="text1"/>
          <w:sz w:val="20"/>
          <w:szCs w:val="20"/>
          <w:lang w:val="sr-Cyrl-BA" w:eastAsia="sr-Cyrl-CS"/>
        </w:rPr>
        <w:t>банке а.д. Бања Лука, те трошков</w:t>
      </w:r>
      <w:r w:rsidR="00471EC5">
        <w:rPr>
          <w:rFonts w:asciiTheme="minorHAnsi" w:hAnsiTheme="minorHAnsi"/>
          <w:color w:val="000000" w:themeColor="text1"/>
          <w:sz w:val="20"/>
          <w:szCs w:val="20"/>
          <w:lang w:val="sr-Cyrl-BA" w:eastAsia="sr-Cyrl-CS"/>
        </w:rPr>
        <w:t xml:space="preserve">е </w:t>
      </w:r>
      <w:r w:rsidR="00471EC5" w:rsidRPr="00471EC5">
        <w:rPr>
          <w:rFonts w:asciiTheme="minorHAnsi" w:hAnsiTheme="minorHAnsi"/>
          <w:color w:val="000000" w:themeColor="text1"/>
          <w:sz w:val="20"/>
          <w:szCs w:val="20"/>
          <w:lang w:val="sr-Cyrl-BA" w:eastAsia="sr-Cyrl-CS"/>
        </w:rPr>
        <w:t>рекламе и пропаганде.</w:t>
      </w:r>
    </w:p>
    <w:p w:rsidR="00471EC5" w:rsidRPr="00471EC5" w:rsidRDefault="00471EC5" w:rsidP="00836EF2">
      <w:pPr>
        <w:rPr>
          <w:rFonts w:asciiTheme="minorHAnsi" w:hAnsiTheme="minorHAnsi"/>
          <w:color w:val="000000" w:themeColor="text1"/>
          <w:sz w:val="20"/>
          <w:szCs w:val="20"/>
          <w:lang w:val="sr-Cyrl-BA" w:eastAsia="sr-Cyrl-CS"/>
        </w:rPr>
      </w:pPr>
    </w:p>
    <w:p w:rsidR="001538EF" w:rsidRDefault="00836EF2" w:rsidP="001538EF">
      <w:pPr>
        <w:rPr>
          <w:rFonts w:asciiTheme="minorHAnsi" w:hAnsiTheme="minorHAnsi"/>
          <w:color w:val="000000" w:themeColor="text1"/>
          <w:sz w:val="20"/>
          <w:szCs w:val="20"/>
          <w:lang w:val="sr-Cyrl-BA" w:eastAsia="sr-Cyrl-CS"/>
        </w:rPr>
      </w:pPr>
      <w:r w:rsidRPr="00471EC5">
        <w:rPr>
          <w:rFonts w:asciiTheme="minorHAnsi" w:hAnsiTheme="minorHAnsi"/>
          <w:b/>
          <w:color w:val="000000" w:themeColor="text1"/>
          <w:sz w:val="20"/>
          <w:szCs w:val="20"/>
          <w:lang w:val="sr-Cyrl-BA" w:eastAsia="sr-Cyrl-CS"/>
        </w:rPr>
        <w:t>Трошкови производних услуга</w:t>
      </w:r>
      <w:r w:rsidRPr="00471EC5">
        <w:rPr>
          <w:rFonts w:asciiTheme="minorHAnsi" w:hAnsiTheme="minorHAnsi"/>
          <w:color w:val="000000" w:themeColor="text1"/>
          <w:sz w:val="20"/>
          <w:szCs w:val="20"/>
          <w:lang w:val="sr-Cyrl-BA" w:eastAsia="sr-Cyrl-CS"/>
        </w:rPr>
        <w:t xml:space="preserve"> су остварени у износу од </w:t>
      </w:r>
      <w:r w:rsidR="00471EC5" w:rsidRPr="00471EC5">
        <w:rPr>
          <w:rFonts w:asciiTheme="minorHAnsi" w:hAnsiTheme="minorHAnsi"/>
          <w:color w:val="000000" w:themeColor="text1"/>
          <w:sz w:val="20"/>
          <w:szCs w:val="20"/>
          <w:lang w:val="sr-Cyrl-BA" w:eastAsia="sr-Cyrl-CS"/>
        </w:rPr>
        <w:t>54.349,20</w:t>
      </w:r>
      <w:r w:rsidRPr="00471EC5">
        <w:rPr>
          <w:rFonts w:asciiTheme="minorHAnsi" w:hAnsiTheme="minorHAnsi"/>
          <w:color w:val="000000" w:themeColor="text1"/>
          <w:sz w:val="20"/>
          <w:szCs w:val="20"/>
          <w:lang w:val="sr-Cyrl-BA" w:eastAsia="sr-Cyrl-CS"/>
        </w:rPr>
        <w:t xml:space="preserve"> КМ и највећим дијелом се односе на трошкове</w:t>
      </w:r>
      <w:r w:rsidR="001538EF" w:rsidRPr="00471EC5">
        <w:rPr>
          <w:rFonts w:asciiTheme="minorHAnsi" w:hAnsiTheme="minorHAnsi"/>
          <w:color w:val="000000" w:themeColor="text1"/>
          <w:sz w:val="20"/>
          <w:szCs w:val="20"/>
          <w:lang w:val="sr-Cyrl-BA" w:eastAsia="sr-Cyrl-CS"/>
        </w:rPr>
        <w:t xml:space="preserve"> одржавања софтвера редовних гаранција, трошкове одржавања гаранција из кредитног портф</w:t>
      </w:r>
      <w:r w:rsidR="00471EC5" w:rsidRPr="00471EC5">
        <w:rPr>
          <w:rFonts w:asciiTheme="minorHAnsi" w:hAnsiTheme="minorHAnsi"/>
          <w:color w:val="000000" w:themeColor="text1"/>
          <w:sz w:val="20"/>
          <w:szCs w:val="20"/>
          <w:lang w:val="sr-Cyrl-BA" w:eastAsia="sr-Cyrl-CS"/>
        </w:rPr>
        <w:t>еља</w:t>
      </w:r>
      <w:r w:rsidR="001538EF" w:rsidRPr="00471EC5">
        <w:rPr>
          <w:rFonts w:asciiTheme="minorHAnsi" w:hAnsiTheme="minorHAnsi"/>
          <w:color w:val="000000" w:themeColor="text1"/>
          <w:sz w:val="20"/>
          <w:szCs w:val="20"/>
          <w:lang w:val="sr-Cyrl-BA" w:eastAsia="sr-Cyrl-CS"/>
        </w:rPr>
        <w:t xml:space="preserve">, трошкове одржавања гаранција из Програма </w:t>
      </w:r>
      <w:r w:rsidR="001538EF" w:rsidRPr="00471EC5">
        <w:rPr>
          <w:rFonts w:asciiTheme="minorHAnsi" w:hAnsiTheme="minorHAnsi"/>
          <w:color w:val="000000" w:themeColor="text1"/>
          <w:sz w:val="20"/>
          <w:szCs w:val="20"/>
          <w:lang w:val="sr-Latn-BA" w:eastAsia="sr-Cyrl-CS"/>
        </w:rPr>
        <w:t>COVID 19</w:t>
      </w:r>
      <w:r w:rsidRPr="00471EC5">
        <w:rPr>
          <w:rFonts w:asciiTheme="minorHAnsi" w:hAnsiTheme="minorHAnsi"/>
          <w:color w:val="000000" w:themeColor="text1"/>
          <w:sz w:val="20"/>
          <w:szCs w:val="20"/>
          <w:lang w:val="sr-Cyrl-BA" w:eastAsia="sr-Cyrl-CS"/>
        </w:rPr>
        <w:t xml:space="preserve">, те </w:t>
      </w:r>
      <w:r w:rsidR="001538EF" w:rsidRPr="00471EC5">
        <w:rPr>
          <w:rFonts w:asciiTheme="minorHAnsi" w:hAnsiTheme="minorHAnsi"/>
          <w:color w:val="000000" w:themeColor="text1"/>
          <w:sz w:val="20"/>
          <w:szCs w:val="20"/>
          <w:lang w:val="sr-Cyrl-BA" w:eastAsia="sr-Cyrl-CS"/>
        </w:rPr>
        <w:t>трошкове одржавања системског софтвера.</w:t>
      </w:r>
    </w:p>
    <w:p w:rsidR="00471EC5" w:rsidRPr="00471EC5" w:rsidRDefault="00471EC5" w:rsidP="001538EF">
      <w:pPr>
        <w:rPr>
          <w:rFonts w:asciiTheme="minorHAnsi" w:hAnsiTheme="minorHAnsi"/>
          <w:color w:val="000000" w:themeColor="text1"/>
          <w:sz w:val="20"/>
          <w:szCs w:val="20"/>
          <w:lang w:val="sr-Cyrl-BA" w:eastAsia="sr-Cyrl-CS"/>
        </w:rPr>
      </w:pPr>
    </w:p>
    <w:p w:rsidR="00E84021" w:rsidRPr="00471EC5" w:rsidRDefault="00836EF2" w:rsidP="001538EF">
      <w:pPr>
        <w:rPr>
          <w:rFonts w:asciiTheme="minorHAnsi" w:hAnsiTheme="minorHAnsi"/>
          <w:color w:val="000000" w:themeColor="text1"/>
          <w:sz w:val="20"/>
          <w:szCs w:val="20"/>
          <w:lang w:val="sr-Cyrl-BA" w:eastAsia="sr-Cyrl-CS"/>
        </w:rPr>
      </w:pPr>
      <w:r w:rsidRPr="00471EC5">
        <w:rPr>
          <w:rFonts w:asciiTheme="minorHAnsi" w:hAnsiTheme="minorHAnsi"/>
          <w:b/>
          <w:color w:val="000000" w:themeColor="text1"/>
          <w:sz w:val="20"/>
          <w:szCs w:val="20"/>
          <w:lang w:val="sr-Cyrl-BA" w:eastAsia="sr-Cyrl-CS"/>
        </w:rPr>
        <w:t>Трошкови амортизације</w:t>
      </w:r>
      <w:r w:rsidRPr="00471EC5">
        <w:rPr>
          <w:rFonts w:asciiTheme="minorHAnsi" w:hAnsiTheme="minorHAnsi"/>
          <w:color w:val="000000" w:themeColor="text1"/>
          <w:sz w:val="20"/>
          <w:szCs w:val="20"/>
          <w:lang w:val="sr-Cyrl-BA" w:eastAsia="sr-Cyrl-CS"/>
        </w:rPr>
        <w:t xml:space="preserve"> у износу од </w:t>
      </w:r>
      <w:r w:rsidR="00471EC5">
        <w:rPr>
          <w:rFonts w:asciiTheme="minorHAnsi" w:hAnsiTheme="minorHAnsi"/>
          <w:color w:val="000000" w:themeColor="text1"/>
          <w:sz w:val="20"/>
          <w:szCs w:val="20"/>
          <w:lang w:val="sr-Cyrl-BA" w:eastAsia="sr-Cyrl-CS"/>
        </w:rPr>
        <w:t>40.909,08</w:t>
      </w:r>
      <w:r w:rsidR="007851DE" w:rsidRPr="00471EC5">
        <w:rPr>
          <w:rFonts w:asciiTheme="minorHAnsi" w:hAnsiTheme="minorHAnsi"/>
          <w:color w:val="000000" w:themeColor="text1"/>
          <w:sz w:val="20"/>
          <w:szCs w:val="20"/>
          <w:lang w:val="sr-Cyrl-BA" w:eastAsia="sr-Cyrl-CS"/>
        </w:rPr>
        <w:t xml:space="preserve"> КМ</w:t>
      </w:r>
      <w:r w:rsidRPr="00471EC5">
        <w:rPr>
          <w:rFonts w:asciiTheme="minorHAnsi" w:hAnsiTheme="minorHAnsi"/>
          <w:color w:val="000000" w:themeColor="text1"/>
          <w:sz w:val="20"/>
          <w:szCs w:val="20"/>
          <w:lang w:val="sr-Cyrl-BA" w:eastAsia="sr-Cyrl-CS"/>
        </w:rPr>
        <w:t xml:space="preserve"> се највећим дијелом односе на амортизацију основних средстава, односно опреме која се користи у редовном пословању Фонда.</w:t>
      </w:r>
    </w:p>
    <w:p w:rsidR="00D16291" w:rsidRPr="00471EC5" w:rsidRDefault="00D16291" w:rsidP="001538EF">
      <w:pPr>
        <w:rPr>
          <w:rFonts w:asciiTheme="minorHAnsi" w:hAnsiTheme="minorHAnsi"/>
          <w:color w:val="000000" w:themeColor="text1"/>
          <w:sz w:val="20"/>
          <w:szCs w:val="20"/>
          <w:lang w:val="sr-Cyrl-BA" w:eastAsia="sr-Cyrl-CS"/>
        </w:rPr>
      </w:pPr>
    </w:p>
    <w:p w:rsidR="004828F7" w:rsidRDefault="00471EC5" w:rsidP="00462BE1">
      <w:pPr>
        <w:rPr>
          <w:rFonts w:asciiTheme="minorHAnsi" w:hAnsiTheme="minorHAnsi"/>
          <w:sz w:val="20"/>
          <w:szCs w:val="20"/>
          <w:lang w:val="sr-Cyrl-CS" w:eastAsia="sr-Cyrl-CS"/>
        </w:rPr>
      </w:pPr>
      <w:r>
        <w:rPr>
          <w:rFonts w:asciiTheme="minorHAnsi" w:hAnsiTheme="minorHAnsi"/>
          <w:sz w:val="20"/>
          <w:szCs w:val="20"/>
          <w:lang w:val="sr-Cyrl-CS" w:eastAsia="sr-Cyrl-CS"/>
        </w:rPr>
        <w:t>Генерално посматрано, највећ</w:t>
      </w:r>
      <w:r w:rsidRPr="00471EC5">
        <w:rPr>
          <w:rFonts w:asciiTheme="minorHAnsi" w:hAnsiTheme="minorHAnsi"/>
          <w:sz w:val="20"/>
          <w:szCs w:val="20"/>
          <w:lang w:val="sr-Cyrl-CS" w:eastAsia="sr-Cyrl-CS"/>
        </w:rPr>
        <w:t>и дио ставки трошкова је остварен у мањем износу у односу на план за 2024. годину. Остварење је премаш</w:t>
      </w:r>
      <w:r w:rsidR="00462BE1">
        <w:rPr>
          <w:rFonts w:asciiTheme="minorHAnsi" w:hAnsiTheme="minorHAnsi"/>
          <w:sz w:val="20"/>
          <w:szCs w:val="20"/>
          <w:lang w:val="sr-Cyrl-CS" w:eastAsia="sr-Cyrl-CS"/>
        </w:rPr>
        <w:t>ило план</w:t>
      </w:r>
      <w:r w:rsidRPr="00471EC5">
        <w:rPr>
          <w:rFonts w:asciiTheme="minorHAnsi" w:hAnsiTheme="minorHAnsi"/>
          <w:sz w:val="20"/>
          <w:szCs w:val="20"/>
          <w:lang w:val="sr-Cyrl-CS" w:eastAsia="sr-Cyrl-CS"/>
        </w:rPr>
        <w:t xml:space="preserve"> на неким ставкама расхода које се нису могле адекватно планирати из горе наведених ра</w:t>
      </w:r>
      <w:r w:rsidR="00462BE1">
        <w:rPr>
          <w:rFonts w:asciiTheme="minorHAnsi" w:hAnsiTheme="minorHAnsi"/>
          <w:sz w:val="20"/>
          <w:szCs w:val="20"/>
          <w:lang w:val="sr-Cyrl-CS" w:eastAsia="sr-Cyrl-CS"/>
        </w:rPr>
        <w:t>злога</w:t>
      </w:r>
      <w:r w:rsidRPr="00471EC5">
        <w:rPr>
          <w:rFonts w:asciiTheme="minorHAnsi" w:hAnsiTheme="minorHAnsi"/>
          <w:sz w:val="20"/>
          <w:szCs w:val="20"/>
          <w:lang w:val="sr-Cyrl-CS" w:eastAsia="sr-Cyrl-CS"/>
        </w:rPr>
        <w:t>, те у оквиру групе трошкова повремених и привремених послова</w:t>
      </w:r>
      <w:r w:rsidR="00462BE1">
        <w:rPr>
          <w:rFonts w:asciiTheme="minorHAnsi" w:hAnsiTheme="minorHAnsi"/>
          <w:sz w:val="20"/>
          <w:szCs w:val="20"/>
          <w:lang w:val="sr-Cyrl-CS" w:eastAsia="sr-Cyrl-CS"/>
        </w:rPr>
        <w:t xml:space="preserve"> и нематеријалних трошкова. Све остале ставке трошкова су имале остварење на мањем нивоу од планираног, што показују и трошкови функционисања Фонда који су 16,69% мањи у односу на план.</w:t>
      </w:r>
    </w:p>
    <w:p w:rsidR="00462BE1" w:rsidRDefault="00462BE1" w:rsidP="00462BE1">
      <w:pPr>
        <w:rPr>
          <w:rFonts w:asciiTheme="minorHAnsi" w:hAnsiTheme="minorHAnsi"/>
          <w:sz w:val="20"/>
          <w:szCs w:val="20"/>
          <w:lang w:val="sr-Cyrl-CS" w:eastAsia="sr-Cyrl-CS"/>
        </w:rPr>
      </w:pPr>
    </w:p>
    <w:p w:rsidR="005A5E2F" w:rsidRDefault="005A5E2F" w:rsidP="00462BE1">
      <w:pPr>
        <w:rPr>
          <w:rFonts w:asciiTheme="minorHAnsi" w:hAnsiTheme="minorHAnsi"/>
          <w:sz w:val="20"/>
          <w:szCs w:val="20"/>
          <w:lang w:val="sr-Cyrl-CS" w:eastAsia="sr-Cyrl-CS"/>
        </w:rPr>
      </w:pPr>
    </w:p>
    <w:p w:rsidR="005A5E2F" w:rsidRDefault="005A5E2F" w:rsidP="00462BE1">
      <w:pPr>
        <w:rPr>
          <w:rFonts w:asciiTheme="minorHAnsi" w:hAnsiTheme="minorHAnsi"/>
          <w:sz w:val="20"/>
          <w:szCs w:val="20"/>
          <w:lang w:val="sr-Cyrl-CS" w:eastAsia="sr-Cyrl-CS"/>
        </w:rPr>
      </w:pPr>
    </w:p>
    <w:p w:rsidR="001C6292" w:rsidRDefault="001C6292" w:rsidP="00462BE1">
      <w:pPr>
        <w:rPr>
          <w:rFonts w:asciiTheme="minorHAnsi" w:hAnsiTheme="minorHAnsi"/>
          <w:sz w:val="20"/>
          <w:szCs w:val="20"/>
          <w:lang w:val="sr-Cyrl-CS" w:eastAsia="sr-Cyrl-CS"/>
        </w:rPr>
      </w:pPr>
    </w:p>
    <w:p w:rsidR="001C6292" w:rsidRDefault="001C6292" w:rsidP="00462BE1">
      <w:pPr>
        <w:rPr>
          <w:rFonts w:asciiTheme="minorHAnsi" w:hAnsiTheme="minorHAnsi"/>
          <w:sz w:val="20"/>
          <w:szCs w:val="20"/>
          <w:lang w:val="sr-Cyrl-CS" w:eastAsia="sr-Cyrl-CS"/>
        </w:rPr>
      </w:pPr>
    </w:p>
    <w:p w:rsidR="001C6292" w:rsidRPr="00462BE1" w:rsidRDefault="001C6292" w:rsidP="00462BE1">
      <w:pPr>
        <w:rPr>
          <w:rFonts w:asciiTheme="minorHAnsi" w:hAnsiTheme="minorHAnsi"/>
          <w:sz w:val="20"/>
          <w:szCs w:val="20"/>
          <w:lang w:val="sr-Cyrl-CS" w:eastAsia="sr-Cyrl-CS"/>
        </w:rPr>
      </w:pPr>
    </w:p>
    <w:p w:rsidR="00462BE1" w:rsidRDefault="00462BE1" w:rsidP="00462BE1">
      <w:pPr>
        <w:rPr>
          <w:rFonts w:asciiTheme="minorHAnsi" w:hAnsiTheme="minorHAnsi"/>
          <w:b/>
          <w:sz w:val="20"/>
          <w:szCs w:val="20"/>
          <w:lang w:val="sr-Cyrl-CS" w:eastAsia="sr-Cyrl-CS"/>
        </w:rPr>
      </w:pPr>
    </w:p>
    <w:p w:rsidR="00914272" w:rsidRPr="00914272" w:rsidRDefault="00914272" w:rsidP="00914272">
      <w:pPr>
        <w:jc w:val="center"/>
        <w:rPr>
          <w:rFonts w:asciiTheme="minorHAnsi" w:hAnsiTheme="minorHAnsi"/>
          <w:b/>
          <w:sz w:val="20"/>
          <w:szCs w:val="20"/>
          <w:lang w:val="sr-Cyrl-CS" w:eastAsia="sr-Cyrl-CS"/>
        </w:rPr>
      </w:pPr>
      <w:r w:rsidRPr="00914272">
        <w:rPr>
          <w:rFonts w:asciiTheme="minorHAnsi" w:hAnsiTheme="minorHAnsi"/>
          <w:b/>
          <w:sz w:val="20"/>
          <w:szCs w:val="20"/>
          <w:lang w:val="sr-Cyrl-CS" w:eastAsia="sr-Cyrl-CS"/>
        </w:rPr>
        <w:t xml:space="preserve">Преглед </w:t>
      </w:r>
      <w:r>
        <w:rPr>
          <w:rFonts w:asciiTheme="minorHAnsi" w:hAnsiTheme="minorHAnsi"/>
          <w:b/>
          <w:sz w:val="20"/>
          <w:szCs w:val="20"/>
          <w:lang w:val="sr-Cyrl-RS" w:eastAsia="sr-Cyrl-CS"/>
        </w:rPr>
        <w:t xml:space="preserve">структуре </w:t>
      </w:r>
      <w:r w:rsidRPr="00914272">
        <w:rPr>
          <w:rFonts w:asciiTheme="minorHAnsi" w:hAnsiTheme="minorHAnsi"/>
          <w:b/>
          <w:sz w:val="20"/>
          <w:szCs w:val="20"/>
          <w:lang w:val="sr-Cyrl-CS" w:eastAsia="sr-Cyrl-CS"/>
        </w:rPr>
        <w:t>остварених расхода пословања у 202</w:t>
      </w:r>
      <w:r w:rsidR="002F1FCA">
        <w:rPr>
          <w:rFonts w:asciiTheme="minorHAnsi" w:hAnsiTheme="minorHAnsi"/>
          <w:b/>
          <w:sz w:val="20"/>
          <w:szCs w:val="20"/>
          <w:lang w:val="sr-Cyrl-CS" w:eastAsia="sr-Cyrl-CS"/>
        </w:rPr>
        <w:t>4</w:t>
      </w:r>
      <w:r w:rsidRPr="00914272">
        <w:rPr>
          <w:rFonts w:asciiTheme="minorHAnsi" w:hAnsiTheme="minorHAnsi"/>
          <w:b/>
          <w:sz w:val="20"/>
          <w:szCs w:val="20"/>
          <w:lang w:val="sr-Cyrl-CS" w:eastAsia="sr-Cyrl-CS"/>
        </w:rPr>
        <w:t>. години</w:t>
      </w:r>
    </w:p>
    <w:p w:rsidR="00914272" w:rsidRPr="00914272" w:rsidRDefault="00914272" w:rsidP="00914272">
      <w:pPr>
        <w:rPr>
          <w:rFonts w:asciiTheme="minorHAnsi" w:hAnsiTheme="minorHAnsi"/>
          <w:b/>
          <w:sz w:val="20"/>
          <w:szCs w:val="20"/>
          <w:lang w:val="sr-Cyrl-CS" w:eastAsia="sr-Cyrl-CS"/>
        </w:rPr>
      </w:pPr>
    </w:p>
    <w:p w:rsidR="00E84021" w:rsidRDefault="00914272" w:rsidP="00914272">
      <w:pPr>
        <w:jc w:val="right"/>
        <w:rPr>
          <w:rFonts w:asciiTheme="minorHAnsi" w:hAnsiTheme="minorHAnsi"/>
          <w:b/>
          <w:sz w:val="20"/>
          <w:szCs w:val="20"/>
          <w:lang w:val="sr-Cyrl-CS" w:eastAsia="sr-Cyrl-CS"/>
        </w:rPr>
      </w:pPr>
      <w:r>
        <w:rPr>
          <w:rFonts w:asciiTheme="minorHAnsi" w:hAnsiTheme="minorHAnsi"/>
          <w:b/>
          <w:sz w:val="20"/>
          <w:szCs w:val="20"/>
          <w:lang w:val="sr-Cyrl-CS" w:eastAsia="sr-Cyrl-CS"/>
        </w:rPr>
        <w:t xml:space="preserve">                       Табела </w:t>
      </w:r>
      <w:r w:rsidR="0034546F">
        <w:rPr>
          <w:rFonts w:asciiTheme="minorHAnsi" w:hAnsiTheme="minorHAnsi"/>
          <w:b/>
          <w:sz w:val="20"/>
          <w:szCs w:val="20"/>
          <w:lang w:val="sr-Cyrl-CS" w:eastAsia="sr-Cyrl-CS"/>
        </w:rPr>
        <w:t>19</w:t>
      </w:r>
    </w:p>
    <w:tbl>
      <w:tblPr>
        <w:tblW w:w="8804" w:type="dxa"/>
        <w:tblInd w:w="93" w:type="dxa"/>
        <w:tblLook w:val="04A0" w:firstRow="1" w:lastRow="0" w:firstColumn="1" w:lastColumn="0" w:noHBand="0" w:noVBand="1"/>
      </w:tblPr>
      <w:tblGrid>
        <w:gridCol w:w="731"/>
        <w:gridCol w:w="3820"/>
        <w:gridCol w:w="2127"/>
        <w:gridCol w:w="2126"/>
      </w:tblGrid>
      <w:tr w:rsidR="002F1FCA" w:rsidRPr="002F1FCA" w:rsidTr="002F1FCA">
        <w:trPr>
          <w:trHeight w:val="630"/>
        </w:trPr>
        <w:tc>
          <w:tcPr>
            <w:tcW w:w="73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Конто</w:t>
            </w:r>
          </w:p>
        </w:tc>
        <w:tc>
          <w:tcPr>
            <w:tcW w:w="3820" w:type="dxa"/>
            <w:tcBorders>
              <w:top w:val="single" w:sz="4" w:space="0" w:color="auto"/>
              <w:left w:val="nil"/>
              <w:bottom w:val="single" w:sz="4" w:space="0" w:color="auto"/>
              <w:right w:val="single" w:sz="4" w:space="0" w:color="auto"/>
            </w:tcBorders>
            <w:shd w:val="clear" w:color="000000" w:fill="8DB4E2"/>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Назив</w:t>
            </w:r>
          </w:p>
        </w:tc>
        <w:tc>
          <w:tcPr>
            <w:tcW w:w="2127" w:type="dxa"/>
            <w:tcBorders>
              <w:top w:val="single" w:sz="4" w:space="0" w:color="auto"/>
              <w:left w:val="nil"/>
              <w:bottom w:val="single" w:sz="4" w:space="0" w:color="auto"/>
              <w:right w:val="single" w:sz="4" w:space="0" w:color="auto"/>
            </w:tcBorders>
            <w:shd w:val="clear" w:color="000000" w:fill="8DB4E2"/>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Остварено у 2024. години</w:t>
            </w:r>
          </w:p>
        </w:tc>
        <w:tc>
          <w:tcPr>
            <w:tcW w:w="2126" w:type="dxa"/>
            <w:tcBorders>
              <w:top w:val="single" w:sz="4" w:space="0" w:color="auto"/>
              <w:left w:val="nil"/>
              <w:bottom w:val="single" w:sz="4" w:space="0" w:color="auto"/>
              <w:right w:val="single" w:sz="4" w:space="0" w:color="auto"/>
            </w:tcBorders>
            <w:shd w:val="clear" w:color="000000" w:fill="8DB4E2"/>
            <w:noWrap/>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Структура</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60</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Расходи камата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16.008,38</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0,60%</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610</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Расходи накнада у домаћој валути</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4.216,69</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0,16%</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61002</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Накнада Централном регистру ХОВ</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4000,2</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0,15%</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622</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Губици по основу престанка признавања финансијских средстава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204.474,65</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471EC5">
              <w:rPr>
                <w:rFonts w:ascii="Calibri" w:hAnsi="Calibri"/>
                <w:color w:val="000000" w:themeColor="text1"/>
                <w:sz w:val="18"/>
                <w:szCs w:val="18"/>
              </w:rPr>
              <w:t>7,70%</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6332</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Губици по основу продаје средстава намијењених продаји</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53.725,33</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2,02%</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6402</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 xml:space="preserve">Расходи индиректних отписа пласмана </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178.723,98</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color w:val="auto"/>
                <w:sz w:val="18"/>
                <w:szCs w:val="18"/>
              </w:rPr>
              <w:t>6,73%</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6410</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Расходи резервисања по ванбилансној активи</w:t>
            </w:r>
          </w:p>
        </w:tc>
        <w:tc>
          <w:tcPr>
            <w:tcW w:w="2127" w:type="dxa"/>
            <w:tcBorders>
              <w:top w:val="nil"/>
              <w:left w:val="nil"/>
              <w:bottom w:val="nil"/>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360.288,35</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color w:val="auto"/>
                <w:sz w:val="18"/>
                <w:szCs w:val="18"/>
              </w:rPr>
            </w:pPr>
            <w:r w:rsidRPr="002F1FCA">
              <w:rPr>
                <w:rFonts w:ascii="Calibri" w:hAnsi="Calibri"/>
                <w:color w:val="auto"/>
                <w:sz w:val="18"/>
                <w:szCs w:val="18"/>
              </w:rPr>
              <w:t>13,56%</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650</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 xml:space="preserve">Трошкови зарада </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sz w:val="18"/>
                <w:szCs w:val="18"/>
              </w:rPr>
            </w:pPr>
            <w:r w:rsidRPr="002F1FCA">
              <w:rPr>
                <w:rFonts w:ascii="Calibri" w:hAnsi="Calibri"/>
                <w:sz w:val="18"/>
                <w:szCs w:val="18"/>
              </w:rPr>
              <w:t>773.116,23</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color w:val="auto"/>
                <w:sz w:val="18"/>
                <w:szCs w:val="18"/>
              </w:rPr>
            </w:pPr>
            <w:r w:rsidRPr="002F1FCA">
              <w:rPr>
                <w:rFonts w:ascii="Calibri" w:hAnsi="Calibri"/>
                <w:color w:val="auto"/>
                <w:sz w:val="18"/>
                <w:szCs w:val="18"/>
              </w:rPr>
              <w:t>29,10%</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651</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накнада зарада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73.239,47</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color w:val="auto"/>
                <w:sz w:val="18"/>
                <w:szCs w:val="18"/>
              </w:rPr>
            </w:pPr>
            <w:r w:rsidRPr="002F1FCA">
              <w:rPr>
                <w:rFonts w:ascii="Calibri" w:hAnsi="Calibri"/>
                <w:color w:val="auto"/>
                <w:sz w:val="18"/>
                <w:szCs w:val="18"/>
              </w:rPr>
              <w:t>2,76%</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652</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пореза на зараде и накнада зарада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sz w:val="18"/>
                <w:szCs w:val="18"/>
              </w:rPr>
            </w:pPr>
            <w:r w:rsidRPr="002F1FCA">
              <w:rPr>
                <w:rFonts w:ascii="Calibri" w:hAnsi="Calibri"/>
                <w:sz w:val="18"/>
                <w:szCs w:val="18"/>
              </w:rPr>
              <w:t>88.546,22</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3,33%</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653</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доприноса на зараде и накнаде зарада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425.081,85</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color w:val="auto"/>
                <w:sz w:val="18"/>
                <w:szCs w:val="18"/>
              </w:rPr>
              <w:t>16,00%</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654</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накнада за привремене и повремене послове</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37.036,01</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1,39%</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color w:val="auto"/>
                <w:sz w:val="18"/>
                <w:szCs w:val="18"/>
              </w:rPr>
            </w:pPr>
            <w:r w:rsidRPr="002F1FCA">
              <w:rPr>
                <w:rFonts w:ascii="Calibri" w:hAnsi="Calibri"/>
                <w:color w:val="auto"/>
                <w:sz w:val="18"/>
                <w:szCs w:val="18"/>
              </w:rPr>
              <w:t>655</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color w:val="auto"/>
                <w:sz w:val="18"/>
                <w:szCs w:val="18"/>
              </w:rPr>
            </w:pPr>
            <w:r w:rsidRPr="002F1FCA">
              <w:rPr>
                <w:rFonts w:ascii="Calibri" w:hAnsi="Calibri"/>
                <w:color w:val="auto"/>
                <w:sz w:val="18"/>
                <w:szCs w:val="18"/>
              </w:rPr>
              <w:t>Остали лични расходи</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50.077,73</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1,88%</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660</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материјала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6.309,82</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0,24%</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661</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производних услуга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54.349,20</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2,05%</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662</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амортизације</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40.909,08</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1,54%</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664</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Нематеријални трошкови (без пореза и доприноса)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188.215,18</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color w:val="auto"/>
                <w:sz w:val="18"/>
                <w:szCs w:val="18"/>
              </w:rPr>
              <w:t>7,08%</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665</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Трошкови по основу пореза и доприноса</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sz w:val="18"/>
                <w:szCs w:val="18"/>
              </w:rPr>
            </w:pPr>
            <w:r w:rsidRPr="002F1FCA">
              <w:rPr>
                <w:rFonts w:ascii="Calibri" w:hAnsi="Calibri"/>
                <w:sz w:val="18"/>
                <w:szCs w:val="18"/>
              </w:rPr>
              <w:t>251,63</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0,01%</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666</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Остали трошкови</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sz w:val="18"/>
                <w:szCs w:val="18"/>
              </w:rPr>
            </w:pPr>
            <w:r w:rsidRPr="002F1FCA">
              <w:rPr>
                <w:rFonts w:ascii="Calibri" w:hAnsi="Calibri"/>
                <w:sz w:val="18"/>
                <w:szCs w:val="18"/>
              </w:rPr>
              <w:t>97.431,88</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3,67%</w:t>
            </w:r>
          </w:p>
        </w:tc>
      </w:tr>
      <w:tr w:rsidR="002F1FCA" w:rsidRPr="002F1FCA" w:rsidTr="002F1FCA">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678</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Остали расходи</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946,50</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0,04%</w:t>
            </w:r>
          </w:p>
        </w:tc>
      </w:tr>
      <w:tr w:rsidR="002F1FCA" w:rsidRPr="002F1FCA" w:rsidTr="002F1FCA">
        <w:trPr>
          <w:trHeight w:val="315"/>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680</w:t>
            </w:r>
          </w:p>
        </w:tc>
        <w:tc>
          <w:tcPr>
            <w:tcW w:w="3820" w:type="dxa"/>
            <w:tcBorders>
              <w:top w:val="nil"/>
              <w:left w:val="nil"/>
              <w:bottom w:val="single" w:sz="4" w:space="0" w:color="auto"/>
              <w:right w:val="single" w:sz="4" w:space="0" w:color="auto"/>
            </w:tcBorders>
            <w:shd w:val="clear" w:color="auto" w:fill="auto"/>
            <w:vAlign w:val="center"/>
            <w:hideMark/>
          </w:tcPr>
          <w:p w:rsidR="002F1FCA" w:rsidRPr="002F1FCA" w:rsidRDefault="002F1FCA" w:rsidP="002F1FCA">
            <w:pPr>
              <w:jc w:val="left"/>
              <w:rPr>
                <w:rFonts w:ascii="Calibri" w:hAnsi="Calibri"/>
                <w:sz w:val="18"/>
                <w:szCs w:val="18"/>
              </w:rPr>
            </w:pPr>
            <w:r w:rsidRPr="002F1FCA">
              <w:rPr>
                <w:rFonts w:ascii="Calibri" w:hAnsi="Calibri"/>
                <w:sz w:val="18"/>
                <w:szCs w:val="18"/>
              </w:rPr>
              <w:t>Негативне курсне разлике</w:t>
            </w:r>
          </w:p>
        </w:tc>
        <w:tc>
          <w:tcPr>
            <w:tcW w:w="2127"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right"/>
              <w:rPr>
                <w:rFonts w:ascii="Calibri" w:hAnsi="Calibri"/>
                <w:color w:val="auto"/>
                <w:sz w:val="18"/>
                <w:szCs w:val="18"/>
              </w:rPr>
            </w:pPr>
            <w:r w:rsidRPr="002F1FCA">
              <w:rPr>
                <w:rFonts w:ascii="Calibri" w:hAnsi="Calibri"/>
                <w:color w:val="auto"/>
                <w:sz w:val="18"/>
                <w:szCs w:val="18"/>
              </w:rPr>
              <w:t>9,10</w:t>
            </w:r>
          </w:p>
        </w:tc>
        <w:tc>
          <w:tcPr>
            <w:tcW w:w="2126" w:type="dxa"/>
            <w:tcBorders>
              <w:top w:val="nil"/>
              <w:left w:val="nil"/>
              <w:bottom w:val="single" w:sz="4" w:space="0" w:color="auto"/>
              <w:right w:val="single" w:sz="4" w:space="0" w:color="auto"/>
            </w:tcBorders>
            <w:shd w:val="clear" w:color="auto" w:fill="auto"/>
            <w:noWrap/>
            <w:vAlign w:val="center"/>
            <w:hideMark/>
          </w:tcPr>
          <w:p w:rsidR="002F1FCA" w:rsidRPr="002F1FCA" w:rsidRDefault="002F1FCA" w:rsidP="002F1FCA">
            <w:pPr>
              <w:jc w:val="center"/>
              <w:rPr>
                <w:rFonts w:ascii="Calibri" w:hAnsi="Calibri"/>
                <w:sz w:val="18"/>
                <w:szCs w:val="18"/>
              </w:rPr>
            </w:pPr>
            <w:r w:rsidRPr="002F1FCA">
              <w:rPr>
                <w:rFonts w:ascii="Calibri" w:hAnsi="Calibri"/>
                <w:sz w:val="18"/>
                <w:szCs w:val="18"/>
              </w:rPr>
              <w:t>0,00%</w:t>
            </w:r>
          </w:p>
        </w:tc>
      </w:tr>
      <w:tr w:rsidR="002F1FCA" w:rsidRPr="002F1FCA" w:rsidTr="002F1FCA">
        <w:trPr>
          <w:trHeight w:val="315"/>
        </w:trPr>
        <w:tc>
          <w:tcPr>
            <w:tcW w:w="4551"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Укупно трошкови</w:t>
            </w:r>
          </w:p>
        </w:tc>
        <w:tc>
          <w:tcPr>
            <w:tcW w:w="2127" w:type="dxa"/>
            <w:tcBorders>
              <w:top w:val="nil"/>
              <w:left w:val="nil"/>
              <w:bottom w:val="single" w:sz="4" w:space="0" w:color="auto"/>
              <w:right w:val="single" w:sz="4" w:space="0" w:color="auto"/>
            </w:tcBorders>
            <w:shd w:val="clear" w:color="000000" w:fill="8DB4E2"/>
            <w:noWrap/>
            <w:vAlign w:val="center"/>
            <w:hideMark/>
          </w:tcPr>
          <w:p w:rsidR="002F1FCA" w:rsidRPr="002F1FCA" w:rsidRDefault="002F1FCA" w:rsidP="002F1FCA">
            <w:pPr>
              <w:jc w:val="right"/>
              <w:rPr>
                <w:rFonts w:ascii="Calibri" w:hAnsi="Calibri"/>
                <w:b/>
                <w:bCs/>
                <w:color w:val="auto"/>
                <w:sz w:val="18"/>
                <w:szCs w:val="18"/>
              </w:rPr>
            </w:pPr>
            <w:r w:rsidRPr="002F1FCA">
              <w:rPr>
                <w:rFonts w:ascii="Calibri" w:hAnsi="Calibri"/>
                <w:b/>
                <w:bCs/>
                <w:color w:val="auto"/>
                <w:sz w:val="18"/>
                <w:szCs w:val="18"/>
              </w:rPr>
              <w:t>1.835.519,90</w:t>
            </w:r>
          </w:p>
        </w:tc>
        <w:tc>
          <w:tcPr>
            <w:tcW w:w="2126" w:type="dxa"/>
            <w:tcBorders>
              <w:top w:val="nil"/>
              <w:left w:val="nil"/>
              <w:bottom w:val="single" w:sz="4" w:space="0" w:color="auto"/>
              <w:right w:val="single" w:sz="4" w:space="0" w:color="auto"/>
            </w:tcBorders>
            <w:shd w:val="clear" w:color="000000" w:fill="8DB4E2"/>
            <w:noWrap/>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64,18%</w:t>
            </w:r>
          </w:p>
        </w:tc>
      </w:tr>
      <w:tr w:rsidR="002F1FCA" w:rsidRPr="002F1FCA" w:rsidTr="002F1FCA">
        <w:trPr>
          <w:trHeight w:val="315"/>
        </w:trPr>
        <w:tc>
          <w:tcPr>
            <w:tcW w:w="4551"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УКУПНО РАСХОДИ</w:t>
            </w:r>
          </w:p>
        </w:tc>
        <w:tc>
          <w:tcPr>
            <w:tcW w:w="2127" w:type="dxa"/>
            <w:tcBorders>
              <w:top w:val="nil"/>
              <w:left w:val="nil"/>
              <w:bottom w:val="single" w:sz="4" w:space="0" w:color="auto"/>
              <w:right w:val="single" w:sz="4" w:space="0" w:color="auto"/>
            </w:tcBorders>
            <w:shd w:val="clear" w:color="000000" w:fill="8DB4E2"/>
            <w:noWrap/>
            <w:vAlign w:val="center"/>
            <w:hideMark/>
          </w:tcPr>
          <w:p w:rsidR="002F1FCA" w:rsidRPr="002F1FCA" w:rsidRDefault="002F1FCA" w:rsidP="002F1FCA">
            <w:pPr>
              <w:jc w:val="right"/>
              <w:rPr>
                <w:rFonts w:ascii="Calibri" w:hAnsi="Calibri"/>
                <w:b/>
                <w:bCs/>
                <w:color w:val="auto"/>
                <w:sz w:val="18"/>
                <w:szCs w:val="18"/>
              </w:rPr>
            </w:pPr>
            <w:r w:rsidRPr="002F1FCA">
              <w:rPr>
                <w:rFonts w:ascii="Calibri" w:hAnsi="Calibri"/>
                <w:b/>
                <w:bCs/>
                <w:color w:val="auto"/>
                <w:sz w:val="18"/>
                <w:szCs w:val="18"/>
              </w:rPr>
              <w:t>2.656.957,48</w:t>
            </w:r>
          </w:p>
        </w:tc>
        <w:tc>
          <w:tcPr>
            <w:tcW w:w="2126" w:type="dxa"/>
            <w:tcBorders>
              <w:top w:val="nil"/>
              <w:left w:val="nil"/>
              <w:bottom w:val="single" w:sz="4" w:space="0" w:color="auto"/>
              <w:right w:val="single" w:sz="4" w:space="0" w:color="auto"/>
            </w:tcBorders>
            <w:shd w:val="clear" w:color="000000" w:fill="8DB4E2"/>
            <w:noWrap/>
            <w:vAlign w:val="center"/>
            <w:hideMark/>
          </w:tcPr>
          <w:p w:rsidR="002F1FCA" w:rsidRPr="002F1FCA" w:rsidRDefault="002F1FCA" w:rsidP="002F1FCA">
            <w:pPr>
              <w:jc w:val="center"/>
              <w:rPr>
                <w:rFonts w:ascii="Calibri" w:hAnsi="Calibri"/>
                <w:b/>
                <w:bCs/>
                <w:sz w:val="18"/>
                <w:szCs w:val="18"/>
              </w:rPr>
            </w:pPr>
            <w:r w:rsidRPr="002F1FCA">
              <w:rPr>
                <w:rFonts w:ascii="Calibri" w:hAnsi="Calibri"/>
                <w:b/>
                <w:bCs/>
                <w:sz w:val="18"/>
                <w:szCs w:val="18"/>
              </w:rPr>
              <w:t>100,00%</w:t>
            </w:r>
          </w:p>
        </w:tc>
      </w:tr>
    </w:tbl>
    <w:p w:rsidR="008B5A35" w:rsidRDefault="008B5A35" w:rsidP="001538EF">
      <w:pPr>
        <w:rPr>
          <w:rFonts w:asciiTheme="minorHAnsi" w:hAnsiTheme="minorHAnsi"/>
          <w:sz w:val="20"/>
          <w:szCs w:val="20"/>
          <w:lang w:val="sr-Cyrl-CS" w:eastAsia="sr-Cyrl-CS"/>
        </w:rPr>
      </w:pPr>
    </w:p>
    <w:p w:rsidR="00462BE1" w:rsidRDefault="002F1FCA" w:rsidP="001538EF">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 xml:space="preserve">У структури </w:t>
      </w:r>
      <w:r w:rsidR="00BE06A5" w:rsidRPr="00822ECE">
        <w:rPr>
          <w:rFonts w:asciiTheme="minorHAnsi" w:hAnsiTheme="minorHAnsi"/>
          <w:color w:val="auto"/>
          <w:sz w:val="20"/>
          <w:szCs w:val="20"/>
          <w:lang w:val="sr-Cyrl-CS" w:eastAsia="sr-Cyrl-CS"/>
        </w:rPr>
        <w:t xml:space="preserve">расхода </w:t>
      </w:r>
      <w:r w:rsidRPr="00822ECE">
        <w:rPr>
          <w:rFonts w:asciiTheme="minorHAnsi" w:hAnsiTheme="minorHAnsi"/>
          <w:color w:val="auto"/>
          <w:sz w:val="20"/>
          <w:szCs w:val="20"/>
          <w:lang w:val="sr-Cyrl-CS" w:eastAsia="sr-Cyrl-CS"/>
        </w:rPr>
        <w:t>остварених током 2024. године доминантн</w:t>
      </w:r>
      <w:r w:rsidR="00462BE1">
        <w:rPr>
          <w:rFonts w:asciiTheme="minorHAnsi" w:hAnsiTheme="minorHAnsi"/>
          <w:color w:val="auto"/>
          <w:sz w:val="20"/>
          <w:szCs w:val="20"/>
          <w:lang w:val="sr-Cyrl-CS" w:eastAsia="sr-Cyrl-CS"/>
        </w:rPr>
        <w:t>о учешће имају трошкови зарада,</w:t>
      </w:r>
      <w:r w:rsidRPr="00822ECE">
        <w:rPr>
          <w:rFonts w:asciiTheme="minorHAnsi" w:hAnsiTheme="minorHAnsi"/>
          <w:color w:val="auto"/>
          <w:sz w:val="20"/>
          <w:szCs w:val="20"/>
          <w:lang w:val="sr-Cyrl-CS" w:eastAsia="sr-Cyrl-CS"/>
        </w:rPr>
        <w:t xml:space="preserve"> накнада зарада</w:t>
      </w:r>
      <w:r w:rsidR="00462BE1">
        <w:rPr>
          <w:rFonts w:asciiTheme="minorHAnsi" w:hAnsiTheme="minorHAnsi"/>
          <w:color w:val="auto"/>
          <w:sz w:val="20"/>
          <w:szCs w:val="20"/>
          <w:lang w:val="sr-Cyrl-CS" w:eastAsia="sr-Cyrl-CS"/>
        </w:rPr>
        <w:t xml:space="preserve"> и осталих личних расхода</w:t>
      </w:r>
      <w:r w:rsidRPr="00822ECE">
        <w:rPr>
          <w:rFonts w:asciiTheme="minorHAnsi" w:hAnsiTheme="minorHAnsi"/>
          <w:color w:val="auto"/>
          <w:sz w:val="20"/>
          <w:szCs w:val="20"/>
          <w:lang w:val="sr-Cyrl-CS" w:eastAsia="sr-Cyrl-CS"/>
        </w:rPr>
        <w:t xml:space="preserve">. Ови трошкови чине нешто више од половине остварених </w:t>
      </w:r>
      <w:r w:rsidR="00BE06A5" w:rsidRPr="00822ECE">
        <w:rPr>
          <w:rFonts w:asciiTheme="minorHAnsi" w:hAnsiTheme="minorHAnsi"/>
          <w:color w:val="auto"/>
          <w:sz w:val="20"/>
          <w:szCs w:val="20"/>
          <w:lang w:val="sr-Cyrl-CS" w:eastAsia="sr-Cyrl-CS"/>
        </w:rPr>
        <w:t>расхода</w:t>
      </w:r>
      <w:r w:rsidRPr="00822ECE">
        <w:rPr>
          <w:rFonts w:asciiTheme="minorHAnsi" w:hAnsiTheme="minorHAnsi"/>
          <w:color w:val="auto"/>
          <w:sz w:val="20"/>
          <w:szCs w:val="20"/>
          <w:lang w:val="sr-Cyrl-CS" w:eastAsia="sr-Cyrl-CS"/>
        </w:rPr>
        <w:t xml:space="preserve"> у посматраној години (</w:t>
      </w:r>
      <w:r w:rsidR="00462BE1">
        <w:rPr>
          <w:rFonts w:asciiTheme="minorHAnsi" w:hAnsiTheme="minorHAnsi"/>
          <w:color w:val="auto"/>
          <w:sz w:val="20"/>
          <w:szCs w:val="20"/>
          <w:lang w:val="sr-Cyrl-CS" w:eastAsia="sr-Cyrl-CS"/>
        </w:rPr>
        <w:t>54,46</w:t>
      </w:r>
      <w:r w:rsidRPr="00822ECE">
        <w:rPr>
          <w:rFonts w:asciiTheme="minorHAnsi" w:hAnsiTheme="minorHAnsi"/>
          <w:color w:val="auto"/>
          <w:sz w:val="20"/>
          <w:szCs w:val="20"/>
          <w:lang w:val="sr-Cyrl-CS" w:eastAsia="sr-Cyrl-CS"/>
        </w:rPr>
        <w:t xml:space="preserve">%). </w:t>
      </w:r>
    </w:p>
    <w:p w:rsidR="00462BE1" w:rsidRDefault="00462BE1" w:rsidP="001538EF">
      <w:pPr>
        <w:rPr>
          <w:rFonts w:asciiTheme="minorHAnsi" w:hAnsiTheme="minorHAnsi"/>
          <w:color w:val="auto"/>
          <w:sz w:val="20"/>
          <w:szCs w:val="20"/>
          <w:lang w:val="sr-Cyrl-CS" w:eastAsia="sr-Cyrl-CS"/>
        </w:rPr>
      </w:pPr>
    </w:p>
    <w:p w:rsidR="00462BE1" w:rsidRDefault="00914272" w:rsidP="001538EF">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 xml:space="preserve">На другом мјесту се налазе расходи резервисања по ванбилансној активи са учешћем од </w:t>
      </w:r>
      <w:r w:rsidR="002F1FCA" w:rsidRPr="00822ECE">
        <w:rPr>
          <w:rFonts w:asciiTheme="minorHAnsi" w:hAnsiTheme="minorHAnsi"/>
          <w:color w:val="auto"/>
          <w:sz w:val="20"/>
          <w:szCs w:val="20"/>
          <w:lang w:val="sr-Cyrl-CS" w:eastAsia="sr-Cyrl-CS"/>
        </w:rPr>
        <w:t>13,56</w:t>
      </w:r>
      <w:r w:rsidRPr="00822ECE">
        <w:rPr>
          <w:rFonts w:asciiTheme="minorHAnsi" w:hAnsiTheme="minorHAnsi"/>
          <w:color w:val="auto"/>
          <w:sz w:val="20"/>
          <w:szCs w:val="20"/>
          <w:lang w:val="sr-Cyrl-CS" w:eastAsia="sr-Cyrl-CS"/>
        </w:rPr>
        <w:t xml:space="preserve">%. </w:t>
      </w:r>
    </w:p>
    <w:p w:rsidR="00462BE1" w:rsidRDefault="00462BE1" w:rsidP="001538EF">
      <w:pPr>
        <w:rPr>
          <w:rFonts w:asciiTheme="minorHAnsi" w:hAnsiTheme="minorHAnsi"/>
          <w:color w:val="auto"/>
          <w:sz w:val="20"/>
          <w:szCs w:val="20"/>
          <w:lang w:val="sr-Cyrl-CS" w:eastAsia="sr-Cyrl-CS"/>
        </w:rPr>
      </w:pPr>
    </w:p>
    <w:p w:rsidR="00E84021" w:rsidRDefault="00BE06A5" w:rsidP="001538EF">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На трећем мјесту су</w:t>
      </w:r>
      <w:r w:rsidR="00B54DD1" w:rsidRPr="00822ECE">
        <w:rPr>
          <w:rFonts w:asciiTheme="minorHAnsi" w:hAnsiTheme="minorHAnsi"/>
          <w:color w:val="auto"/>
          <w:sz w:val="20"/>
          <w:szCs w:val="20"/>
          <w:lang w:val="sr-Cyrl-CS" w:eastAsia="sr-Cyrl-CS"/>
        </w:rPr>
        <w:t xml:space="preserve"> </w:t>
      </w:r>
      <w:r w:rsidRPr="00822ECE">
        <w:rPr>
          <w:rFonts w:asciiTheme="minorHAnsi" w:hAnsiTheme="minorHAnsi"/>
          <w:color w:val="auto"/>
          <w:sz w:val="20"/>
          <w:szCs w:val="20"/>
          <w:lang w:val="sr-Cyrl-CS" w:eastAsia="sr-Cyrl-CS"/>
        </w:rPr>
        <w:t>губици по основу престанка признавања финансијских инструмената</w:t>
      </w:r>
      <w:r w:rsidR="00822ECE" w:rsidRPr="00822ECE">
        <w:rPr>
          <w:rFonts w:asciiTheme="minorHAnsi" w:hAnsiTheme="minorHAnsi"/>
          <w:color w:val="auto"/>
          <w:sz w:val="20"/>
          <w:szCs w:val="20"/>
          <w:lang w:val="sr-Cyrl-CS" w:eastAsia="sr-Cyrl-CS"/>
        </w:rPr>
        <w:t xml:space="preserve"> </w:t>
      </w:r>
      <w:r w:rsidRPr="00822ECE">
        <w:rPr>
          <w:rFonts w:asciiTheme="minorHAnsi" w:hAnsiTheme="minorHAnsi"/>
          <w:color w:val="auto"/>
          <w:sz w:val="20"/>
          <w:szCs w:val="20"/>
          <w:lang w:val="sr-Cyrl-CS" w:eastAsia="sr-Cyrl-CS"/>
        </w:rPr>
        <w:t xml:space="preserve">са учешћем 7,70%, </w:t>
      </w:r>
      <w:r w:rsidR="00914272" w:rsidRPr="00822ECE">
        <w:rPr>
          <w:rFonts w:asciiTheme="minorHAnsi" w:hAnsiTheme="minorHAnsi"/>
          <w:color w:val="auto"/>
          <w:sz w:val="20"/>
          <w:szCs w:val="20"/>
          <w:lang w:val="sr-Cyrl-CS" w:eastAsia="sr-Cyrl-CS"/>
        </w:rPr>
        <w:t xml:space="preserve">а на четвртом мјесту </w:t>
      </w:r>
      <w:r w:rsidRPr="00822ECE">
        <w:rPr>
          <w:rFonts w:asciiTheme="minorHAnsi" w:hAnsiTheme="minorHAnsi"/>
          <w:color w:val="auto"/>
          <w:sz w:val="20"/>
          <w:szCs w:val="20"/>
          <w:lang w:val="sr-Cyrl-CS" w:eastAsia="sr-Cyrl-CS"/>
        </w:rPr>
        <w:t xml:space="preserve">нематеријални трошкови са приближно истим учешћем у укупним расходима. </w:t>
      </w:r>
    </w:p>
    <w:p w:rsidR="00822ECE" w:rsidRPr="00822ECE" w:rsidRDefault="00822ECE" w:rsidP="001538EF">
      <w:pPr>
        <w:rPr>
          <w:rFonts w:asciiTheme="minorHAnsi" w:hAnsiTheme="minorHAnsi"/>
          <w:color w:val="auto"/>
          <w:sz w:val="20"/>
          <w:szCs w:val="20"/>
          <w:lang w:val="sr-Cyrl-CS" w:eastAsia="sr-Cyrl-CS"/>
        </w:rPr>
      </w:pPr>
    </w:p>
    <w:p w:rsidR="00914272" w:rsidRPr="00822ECE" w:rsidRDefault="00BE06A5" w:rsidP="00822ECE">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 xml:space="preserve">Ове </w:t>
      </w:r>
      <w:r w:rsidR="00DF0E2C">
        <w:rPr>
          <w:rFonts w:asciiTheme="minorHAnsi" w:hAnsiTheme="minorHAnsi"/>
          <w:color w:val="auto"/>
          <w:sz w:val="20"/>
          <w:szCs w:val="20"/>
          <w:lang w:val="sr-Cyrl-CS" w:eastAsia="sr-Cyrl-CS"/>
        </w:rPr>
        <w:t>четири</w:t>
      </w:r>
      <w:r w:rsidRPr="00822ECE">
        <w:rPr>
          <w:rFonts w:asciiTheme="minorHAnsi" w:hAnsiTheme="minorHAnsi"/>
          <w:color w:val="auto"/>
          <w:sz w:val="20"/>
          <w:szCs w:val="20"/>
          <w:lang w:val="sr-Cyrl-CS" w:eastAsia="sr-Cyrl-CS"/>
        </w:rPr>
        <w:t xml:space="preserve"> групе трошкова чине </w:t>
      </w:r>
      <w:r w:rsidR="008F5013">
        <w:rPr>
          <w:rFonts w:asciiTheme="minorHAnsi" w:hAnsiTheme="minorHAnsi"/>
          <w:color w:val="auto"/>
          <w:sz w:val="20"/>
          <w:szCs w:val="20"/>
          <w:lang w:val="sr-Cyrl-CS" w:eastAsia="sr-Cyrl-CS"/>
        </w:rPr>
        <w:t>82,80</w:t>
      </w:r>
      <w:r w:rsidRPr="00822ECE">
        <w:rPr>
          <w:rFonts w:asciiTheme="minorHAnsi" w:hAnsiTheme="minorHAnsi"/>
          <w:color w:val="auto"/>
          <w:sz w:val="20"/>
          <w:szCs w:val="20"/>
          <w:lang w:val="sr-Cyrl-CS" w:eastAsia="sr-Cyrl-CS"/>
        </w:rPr>
        <w:t>% свих остварених расхода у 202</w:t>
      </w:r>
      <w:r w:rsidR="00822ECE" w:rsidRPr="00822ECE">
        <w:rPr>
          <w:rFonts w:asciiTheme="minorHAnsi" w:hAnsiTheme="minorHAnsi"/>
          <w:color w:val="auto"/>
          <w:sz w:val="20"/>
          <w:szCs w:val="20"/>
          <w:lang w:val="sr-Cyrl-CS" w:eastAsia="sr-Cyrl-CS"/>
        </w:rPr>
        <w:t>4</w:t>
      </w:r>
      <w:r w:rsidRPr="00822ECE">
        <w:rPr>
          <w:rFonts w:asciiTheme="minorHAnsi" w:hAnsiTheme="minorHAnsi"/>
          <w:color w:val="auto"/>
          <w:sz w:val="20"/>
          <w:szCs w:val="20"/>
          <w:lang w:val="sr-Cyrl-CS" w:eastAsia="sr-Cyrl-CS"/>
        </w:rPr>
        <w:t>. годи</w:t>
      </w:r>
      <w:r w:rsidR="00822ECE" w:rsidRPr="00822ECE">
        <w:rPr>
          <w:rFonts w:asciiTheme="minorHAnsi" w:hAnsiTheme="minorHAnsi"/>
          <w:color w:val="auto"/>
          <w:sz w:val="20"/>
          <w:szCs w:val="20"/>
          <w:lang w:val="sr-Cyrl-CS" w:eastAsia="sr-Cyrl-CS"/>
        </w:rPr>
        <w:t>ни, док</w:t>
      </w:r>
      <w:r w:rsidR="00914272" w:rsidRPr="00822ECE">
        <w:rPr>
          <w:rFonts w:asciiTheme="minorHAnsi" w:hAnsiTheme="minorHAnsi"/>
          <w:color w:val="auto"/>
          <w:sz w:val="20"/>
          <w:szCs w:val="20"/>
          <w:lang w:val="sr-Cyrl-CS" w:eastAsia="sr-Cyrl-CS"/>
        </w:rPr>
        <w:t xml:space="preserve"> остал</w:t>
      </w:r>
      <w:r w:rsidR="00B54DD1" w:rsidRPr="00822ECE">
        <w:rPr>
          <w:rFonts w:asciiTheme="minorHAnsi" w:hAnsiTheme="minorHAnsi"/>
          <w:color w:val="auto"/>
          <w:sz w:val="20"/>
          <w:szCs w:val="20"/>
          <w:lang w:val="sr-Cyrl-CS" w:eastAsia="sr-Cyrl-CS"/>
        </w:rPr>
        <w:t xml:space="preserve">и трошкови побројани у табели имају врло мало појединачно учешће, а збирно </w:t>
      </w:r>
      <w:r w:rsidR="00914272" w:rsidRPr="00822ECE">
        <w:rPr>
          <w:rFonts w:asciiTheme="minorHAnsi" w:hAnsiTheme="minorHAnsi"/>
          <w:color w:val="auto"/>
          <w:sz w:val="20"/>
          <w:szCs w:val="20"/>
          <w:lang w:val="sr-Cyrl-CS" w:eastAsia="sr-Cyrl-CS"/>
        </w:rPr>
        <w:t xml:space="preserve">чине </w:t>
      </w:r>
      <w:r w:rsidR="008F5013">
        <w:rPr>
          <w:rFonts w:asciiTheme="minorHAnsi" w:hAnsiTheme="minorHAnsi"/>
          <w:color w:val="auto"/>
          <w:sz w:val="20"/>
          <w:szCs w:val="20"/>
          <w:lang w:val="sr-Cyrl-CS" w:eastAsia="sr-Cyrl-CS"/>
        </w:rPr>
        <w:t>мање од петине</w:t>
      </w:r>
      <w:r w:rsidR="00914272" w:rsidRPr="00822ECE">
        <w:rPr>
          <w:rFonts w:asciiTheme="minorHAnsi" w:hAnsiTheme="minorHAnsi"/>
          <w:color w:val="auto"/>
          <w:sz w:val="20"/>
          <w:szCs w:val="20"/>
          <w:lang w:val="sr-Cyrl-CS" w:eastAsia="sr-Cyrl-CS"/>
        </w:rPr>
        <w:t xml:space="preserve"> укупно оствар</w:t>
      </w:r>
      <w:r w:rsidR="00B54DD1" w:rsidRPr="00822ECE">
        <w:rPr>
          <w:rFonts w:asciiTheme="minorHAnsi" w:hAnsiTheme="minorHAnsi"/>
          <w:color w:val="auto"/>
          <w:sz w:val="20"/>
          <w:szCs w:val="20"/>
          <w:lang w:val="sr-Cyrl-CS" w:eastAsia="sr-Cyrl-CS"/>
        </w:rPr>
        <w:t>ен</w:t>
      </w:r>
      <w:r w:rsidR="00B84B91" w:rsidRPr="00822ECE">
        <w:rPr>
          <w:rFonts w:asciiTheme="minorHAnsi" w:hAnsiTheme="minorHAnsi"/>
          <w:color w:val="auto"/>
          <w:sz w:val="20"/>
          <w:szCs w:val="20"/>
          <w:lang w:val="sr-Cyrl-CS" w:eastAsia="sr-Cyrl-CS"/>
        </w:rPr>
        <w:t>их расхода Гарантног ф</w:t>
      </w:r>
      <w:r w:rsidR="00914272" w:rsidRPr="00822ECE">
        <w:rPr>
          <w:rFonts w:asciiTheme="minorHAnsi" w:hAnsiTheme="minorHAnsi"/>
          <w:color w:val="auto"/>
          <w:sz w:val="20"/>
          <w:szCs w:val="20"/>
          <w:lang w:val="sr-Cyrl-CS" w:eastAsia="sr-Cyrl-CS"/>
        </w:rPr>
        <w:t>онда у 202</w:t>
      </w:r>
      <w:r w:rsidR="002F1FCA" w:rsidRPr="00822ECE">
        <w:rPr>
          <w:rFonts w:asciiTheme="minorHAnsi" w:hAnsiTheme="minorHAnsi"/>
          <w:color w:val="auto"/>
          <w:sz w:val="20"/>
          <w:szCs w:val="20"/>
          <w:lang w:val="sr-Cyrl-CS" w:eastAsia="sr-Cyrl-CS"/>
        </w:rPr>
        <w:t>4</w:t>
      </w:r>
      <w:r w:rsidR="00914272" w:rsidRPr="00822ECE">
        <w:rPr>
          <w:rFonts w:asciiTheme="minorHAnsi" w:hAnsiTheme="minorHAnsi"/>
          <w:color w:val="auto"/>
          <w:sz w:val="20"/>
          <w:szCs w:val="20"/>
          <w:lang w:val="sr-Cyrl-CS" w:eastAsia="sr-Cyrl-CS"/>
        </w:rPr>
        <w:t>. години.</w:t>
      </w: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2F1FCA" w:rsidRDefault="002F1FCA" w:rsidP="001538EF">
      <w:pPr>
        <w:rPr>
          <w:rFonts w:asciiTheme="minorHAnsi" w:hAnsiTheme="minorHAnsi"/>
          <w:color w:val="FF0000"/>
          <w:sz w:val="20"/>
          <w:szCs w:val="20"/>
          <w:lang w:val="sr-Cyrl-CS" w:eastAsia="sr-Cyrl-CS"/>
        </w:rPr>
      </w:pPr>
    </w:p>
    <w:p w:rsidR="00462BE1" w:rsidRDefault="00462BE1" w:rsidP="001538EF">
      <w:pPr>
        <w:rPr>
          <w:rFonts w:asciiTheme="minorHAnsi" w:hAnsiTheme="minorHAnsi"/>
          <w:color w:val="000000" w:themeColor="text1"/>
          <w:sz w:val="20"/>
          <w:szCs w:val="20"/>
          <w:lang w:val="sr-Cyrl-CS" w:eastAsia="sr-Cyrl-CS"/>
        </w:rPr>
      </w:pPr>
    </w:p>
    <w:p w:rsidR="00CF6A86" w:rsidRPr="008B5A35" w:rsidRDefault="00CF6A86" w:rsidP="001538EF">
      <w:pPr>
        <w:rPr>
          <w:rFonts w:asciiTheme="minorHAnsi" w:hAnsiTheme="minorHAnsi"/>
          <w:color w:val="000000" w:themeColor="text1"/>
          <w:sz w:val="20"/>
          <w:szCs w:val="20"/>
          <w:lang w:val="sr-Cyrl-CS" w:eastAsia="sr-Cyrl-CS"/>
        </w:rPr>
      </w:pPr>
    </w:p>
    <w:p w:rsidR="001538EF" w:rsidRPr="008B5A35" w:rsidRDefault="00E84021" w:rsidP="00EE16CE">
      <w:pPr>
        <w:pStyle w:val="Heading2"/>
        <w:numPr>
          <w:ilvl w:val="0"/>
          <w:numId w:val="0"/>
        </w:numPr>
        <w:rPr>
          <w:rFonts w:asciiTheme="minorHAnsi" w:hAnsiTheme="minorHAnsi"/>
          <w:color w:val="000000" w:themeColor="text1"/>
          <w:szCs w:val="20"/>
        </w:rPr>
      </w:pPr>
      <w:bookmarkStart w:id="14" w:name="_Toc135292177"/>
      <w:r w:rsidRPr="008B5A35">
        <w:rPr>
          <w:rFonts w:asciiTheme="minorHAnsi" w:hAnsiTheme="minorHAnsi"/>
          <w:color w:val="000000" w:themeColor="text1"/>
          <w:szCs w:val="20"/>
          <w:lang w:val="sr-Cyrl-BA"/>
        </w:rPr>
        <w:t xml:space="preserve">3.3. </w:t>
      </w:r>
      <w:r w:rsidR="002E7B50" w:rsidRPr="008B5A35">
        <w:rPr>
          <w:rFonts w:asciiTheme="minorHAnsi" w:hAnsiTheme="minorHAnsi"/>
          <w:color w:val="000000" w:themeColor="text1"/>
          <w:szCs w:val="20"/>
          <w:lang w:val="sr-Cyrl-BA"/>
        </w:rPr>
        <w:t>ОСТВАРЕНИ ФИНАНСИЈСКИ РЕЗУЛТАТ</w:t>
      </w:r>
      <w:r w:rsidR="000B04CD" w:rsidRPr="008B5A35">
        <w:rPr>
          <w:rFonts w:asciiTheme="minorHAnsi" w:hAnsiTheme="minorHAnsi"/>
          <w:color w:val="000000" w:themeColor="text1"/>
          <w:szCs w:val="20"/>
          <w:lang w:val="sr-Cyrl-BA"/>
        </w:rPr>
        <w:t xml:space="preserve"> </w:t>
      </w:r>
      <w:r w:rsidR="001538EF" w:rsidRPr="008B5A35">
        <w:rPr>
          <w:rFonts w:asciiTheme="minorHAnsi" w:hAnsiTheme="minorHAnsi"/>
          <w:color w:val="000000" w:themeColor="text1"/>
          <w:szCs w:val="20"/>
          <w:lang w:val="sr-Cyrl-BA"/>
        </w:rPr>
        <w:t xml:space="preserve"> </w:t>
      </w:r>
      <w:r w:rsidR="00EE16CE" w:rsidRPr="008B5A35">
        <w:rPr>
          <w:rFonts w:asciiTheme="minorHAnsi" w:hAnsiTheme="minorHAnsi"/>
          <w:color w:val="000000" w:themeColor="text1"/>
          <w:szCs w:val="20"/>
          <w:lang w:val="sr-Cyrl-BA"/>
        </w:rPr>
        <w:t>У</w:t>
      </w:r>
      <w:r w:rsidR="001538EF" w:rsidRPr="008B5A35">
        <w:rPr>
          <w:rFonts w:asciiTheme="minorHAnsi" w:hAnsiTheme="minorHAnsi"/>
          <w:color w:val="000000" w:themeColor="text1"/>
          <w:szCs w:val="20"/>
          <w:lang w:val="sr-Cyrl-BA"/>
        </w:rPr>
        <w:t xml:space="preserve"> 202</w:t>
      </w:r>
      <w:r w:rsidR="001722C2" w:rsidRPr="008B5A35">
        <w:rPr>
          <w:rFonts w:asciiTheme="minorHAnsi" w:hAnsiTheme="minorHAnsi"/>
          <w:color w:val="000000" w:themeColor="text1"/>
          <w:szCs w:val="20"/>
          <w:lang w:val="sr-Cyrl-RS"/>
        </w:rPr>
        <w:t>4</w:t>
      </w:r>
      <w:r w:rsidR="001538EF" w:rsidRPr="008B5A35">
        <w:rPr>
          <w:rFonts w:asciiTheme="minorHAnsi" w:hAnsiTheme="minorHAnsi"/>
          <w:color w:val="000000" w:themeColor="text1"/>
          <w:szCs w:val="20"/>
          <w:lang w:val="sr-Cyrl-BA"/>
        </w:rPr>
        <w:t>. ГОДИН</w:t>
      </w:r>
      <w:bookmarkEnd w:id="14"/>
      <w:r w:rsidR="00EE16CE" w:rsidRPr="008B5A35">
        <w:rPr>
          <w:rFonts w:asciiTheme="minorHAnsi" w:hAnsiTheme="minorHAnsi"/>
          <w:color w:val="000000" w:themeColor="text1"/>
          <w:szCs w:val="20"/>
          <w:lang w:val="sr-Cyrl-BA"/>
        </w:rPr>
        <w:t>И</w:t>
      </w:r>
    </w:p>
    <w:p w:rsidR="001538EF" w:rsidRPr="005767EF" w:rsidRDefault="001538EF" w:rsidP="001538EF">
      <w:pPr>
        <w:pStyle w:val="Heading2"/>
        <w:numPr>
          <w:ilvl w:val="0"/>
          <w:numId w:val="0"/>
        </w:numPr>
        <w:rPr>
          <w:rFonts w:asciiTheme="minorHAnsi" w:hAnsiTheme="minorHAnsi"/>
          <w:szCs w:val="20"/>
        </w:rPr>
      </w:pPr>
    </w:p>
    <w:p w:rsidR="001538EF" w:rsidRPr="00EE16CE" w:rsidRDefault="001538EF" w:rsidP="001538EF">
      <w:pPr>
        <w:jc w:val="center"/>
        <w:rPr>
          <w:rFonts w:asciiTheme="minorHAnsi" w:hAnsiTheme="minorHAnsi"/>
          <w:b/>
          <w:sz w:val="20"/>
          <w:szCs w:val="20"/>
          <w:lang w:val="sr-Cyrl-RS" w:eastAsia="sr-Cyrl-CS"/>
        </w:rPr>
      </w:pPr>
      <w:r w:rsidRPr="005767EF">
        <w:rPr>
          <w:rFonts w:asciiTheme="minorHAnsi" w:hAnsiTheme="minorHAnsi"/>
          <w:b/>
          <w:sz w:val="20"/>
          <w:szCs w:val="20"/>
          <w:lang w:val="sr-Latn-BA" w:eastAsia="sr-Cyrl-CS"/>
        </w:rPr>
        <w:t xml:space="preserve">Преглед </w:t>
      </w:r>
      <w:r w:rsidR="000B04CD" w:rsidRPr="005767EF">
        <w:rPr>
          <w:rFonts w:asciiTheme="minorHAnsi" w:hAnsiTheme="minorHAnsi"/>
          <w:b/>
          <w:sz w:val="20"/>
          <w:szCs w:val="20"/>
          <w:lang w:val="sr-Cyrl-BA" w:eastAsia="sr-Cyrl-CS"/>
        </w:rPr>
        <w:t>финансијског резултата</w:t>
      </w:r>
      <w:r w:rsidRPr="005767EF">
        <w:rPr>
          <w:rFonts w:asciiTheme="minorHAnsi" w:hAnsiTheme="minorHAnsi"/>
          <w:b/>
          <w:sz w:val="20"/>
          <w:szCs w:val="20"/>
          <w:lang w:val="sr-Latn-BA" w:eastAsia="sr-Cyrl-CS"/>
        </w:rPr>
        <w:t xml:space="preserve"> </w:t>
      </w:r>
      <w:r w:rsidR="00EE16CE">
        <w:rPr>
          <w:rFonts w:asciiTheme="minorHAnsi" w:hAnsiTheme="minorHAnsi"/>
          <w:b/>
          <w:sz w:val="20"/>
          <w:szCs w:val="20"/>
          <w:lang w:val="sr-Cyrl-RS" w:eastAsia="sr-Cyrl-CS"/>
        </w:rPr>
        <w:t>у</w:t>
      </w:r>
      <w:r w:rsidRPr="005767EF">
        <w:rPr>
          <w:rFonts w:asciiTheme="minorHAnsi" w:hAnsiTheme="minorHAnsi"/>
          <w:b/>
          <w:sz w:val="20"/>
          <w:szCs w:val="20"/>
          <w:lang w:val="sr-Latn-BA" w:eastAsia="sr-Cyrl-CS"/>
        </w:rPr>
        <w:t xml:space="preserve"> 202</w:t>
      </w:r>
      <w:r w:rsidR="001722C2">
        <w:rPr>
          <w:rFonts w:asciiTheme="minorHAnsi" w:hAnsiTheme="minorHAnsi"/>
          <w:b/>
          <w:sz w:val="20"/>
          <w:szCs w:val="20"/>
          <w:lang w:val="sr-Cyrl-BA" w:eastAsia="sr-Cyrl-CS"/>
        </w:rPr>
        <w:t>4</w:t>
      </w:r>
      <w:r w:rsidRPr="005767EF">
        <w:rPr>
          <w:rFonts w:asciiTheme="minorHAnsi" w:hAnsiTheme="minorHAnsi"/>
          <w:b/>
          <w:sz w:val="20"/>
          <w:szCs w:val="20"/>
          <w:lang w:val="sr-Latn-BA" w:eastAsia="sr-Cyrl-CS"/>
        </w:rPr>
        <w:t>. годин</w:t>
      </w:r>
      <w:r w:rsidR="00EE16CE">
        <w:rPr>
          <w:rFonts w:asciiTheme="minorHAnsi" w:hAnsiTheme="minorHAnsi"/>
          <w:b/>
          <w:sz w:val="20"/>
          <w:szCs w:val="20"/>
          <w:lang w:val="sr-Cyrl-RS" w:eastAsia="sr-Cyrl-CS"/>
        </w:rPr>
        <w:t>и</w:t>
      </w:r>
    </w:p>
    <w:p w:rsidR="001538EF" w:rsidRPr="005767EF" w:rsidRDefault="00411A65" w:rsidP="00411A65">
      <w:pPr>
        <w:jc w:val="right"/>
        <w:rPr>
          <w:rFonts w:asciiTheme="minorHAnsi" w:hAnsiTheme="minorHAnsi"/>
          <w:sz w:val="20"/>
          <w:szCs w:val="20"/>
          <w:lang w:val="sr-Cyrl-CS" w:eastAsia="sr-Cyrl-CS"/>
        </w:rPr>
      </w:pPr>
      <w:r>
        <w:rPr>
          <w:rFonts w:asciiTheme="minorHAnsi" w:eastAsia="Calibri" w:hAnsiTheme="minorHAnsi"/>
          <w:b/>
          <w:color w:val="auto"/>
          <w:sz w:val="20"/>
          <w:szCs w:val="20"/>
          <w:lang w:val="sr-Cyrl-BA" w:eastAsia="en-US"/>
        </w:rPr>
        <w:t xml:space="preserve">Табела </w:t>
      </w:r>
      <w:r w:rsidR="0034546F">
        <w:rPr>
          <w:rFonts w:asciiTheme="minorHAnsi" w:eastAsia="Calibri" w:hAnsiTheme="minorHAnsi"/>
          <w:b/>
          <w:color w:val="auto"/>
          <w:sz w:val="20"/>
          <w:szCs w:val="20"/>
          <w:lang w:val="sr-Cyrl-BA" w:eastAsia="en-US"/>
        </w:rPr>
        <w:t>20</w:t>
      </w:r>
    </w:p>
    <w:tbl>
      <w:tblPr>
        <w:tblW w:w="8804" w:type="dxa"/>
        <w:tblInd w:w="93" w:type="dxa"/>
        <w:tblLook w:val="04A0" w:firstRow="1" w:lastRow="0" w:firstColumn="1" w:lastColumn="0" w:noHBand="0" w:noVBand="1"/>
      </w:tblPr>
      <w:tblGrid>
        <w:gridCol w:w="3559"/>
        <w:gridCol w:w="1843"/>
        <w:gridCol w:w="1843"/>
        <w:gridCol w:w="1559"/>
      </w:tblGrid>
      <w:tr w:rsidR="006727C1" w:rsidRPr="00411A65" w:rsidTr="006727C1">
        <w:trPr>
          <w:trHeight w:val="435"/>
        </w:trPr>
        <w:tc>
          <w:tcPr>
            <w:tcW w:w="3559" w:type="dxa"/>
            <w:vMerge w:val="restart"/>
            <w:tcBorders>
              <w:top w:val="single" w:sz="8" w:space="0" w:color="auto"/>
              <w:left w:val="single" w:sz="8" w:space="0" w:color="auto"/>
              <w:bottom w:val="single" w:sz="8" w:space="0" w:color="000000"/>
              <w:right w:val="single" w:sz="8" w:space="0" w:color="auto"/>
            </w:tcBorders>
            <w:shd w:val="clear" w:color="000000" w:fill="8DB3E2"/>
            <w:noWrap/>
            <w:vAlign w:val="center"/>
            <w:hideMark/>
          </w:tcPr>
          <w:p w:rsidR="006727C1" w:rsidRPr="00411A65" w:rsidRDefault="006727C1" w:rsidP="00411A65">
            <w:pPr>
              <w:jc w:val="center"/>
              <w:rPr>
                <w:rFonts w:ascii="Calibri" w:hAnsi="Calibri"/>
                <w:b/>
                <w:bCs/>
                <w:sz w:val="20"/>
                <w:szCs w:val="20"/>
              </w:rPr>
            </w:pPr>
            <w:r w:rsidRPr="00411A65">
              <w:rPr>
                <w:rFonts w:ascii="Calibri" w:hAnsi="Calibri"/>
                <w:b/>
                <w:bCs/>
                <w:sz w:val="20"/>
                <w:szCs w:val="20"/>
                <w:lang w:val="en-US"/>
              </w:rPr>
              <w:t>Опис</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8DB3E2"/>
            <w:vAlign w:val="center"/>
            <w:hideMark/>
          </w:tcPr>
          <w:p w:rsidR="006727C1" w:rsidRPr="00411A65" w:rsidRDefault="006727C1" w:rsidP="00411A65">
            <w:pPr>
              <w:jc w:val="center"/>
              <w:rPr>
                <w:rFonts w:ascii="Calibri" w:hAnsi="Calibri"/>
                <w:b/>
                <w:bCs/>
                <w:sz w:val="20"/>
                <w:szCs w:val="20"/>
              </w:rPr>
            </w:pPr>
            <w:r w:rsidRPr="00411A65">
              <w:rPr>
                <w:rFonts w:ascii="Calibri" w:hAnsi="Calibri"/>
                <w:b/>
                <w:bCs/>
                <w:sz w:val="20"/>
                <w:szCs w:val="20"/>
                <w:lang w:val="sr-Cyrl-BA"/>
              </w:rPr>
              <w:t>Планирано 2024. године</w:t>
            </w:r>
          </w:p>
        </w:tc>
        <w:tc>
          <w:tcPr>
            <w:tcW w:w="1843" w:type="dxa"/>
            <w:tcBorders>
              <w:top w:val="single" w:sz="8" w:space="0" w:color="auto"/>
              <w:left w:val="nil"/>
              <w:bottom w:val="nil"/>
              <w:right w:val="single" w:sz="8" w:space="0" w:color="auto"/>
            </w:tcBorders>
            <w:shd w:val="clear" w:color="000000" w:fill="8DB3E2"/>
            <w:noWrap/>
            <w:vAlign w:val="center"/>
            <w:hideMark/>
          </w:tcPr>
          <w:p w:rsidR="006727C1" w:rsidRPr="00411A65" w:rsidRDefault="006727C1" w:rsidP="00411A65">
            <w:pPr>
              <w:jc w:val="center"/>
              <w:rPr>
                <w:rFonts w:ascii="Calibri" w:hAnsi="Calibri"/>
                <w:b/>
                <w:bCs/>
                <w:sz w:val="20"/>
                <w:szCs w:val="20"/>
              </w:rPr>
            </w:pPr>
            <w:r w:rsidRPr="00411A65">
              <w:rPr>
                <w:rFonts w:ascii="Calibri" w:hAnsi="Calibri"/>
                <w:b/>
                <w:bCs/>
                <w:sz w:val="20"/>
                <w:szCs w:val="20"/>
                <w:lang w:val="sr-Cyrl-BA"/>
              </w:rPr>
              <w:t xml:space="preserve">Остварено </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8DB3E2"/>
            <w:vAlign w:val="center"/>
            <w:hideMark/>
          </w:tcPr>
          <w:p w:rsidR="006727C1" w:rsidRPr="00411A65" w:rsidRDefault="006727C1" w:rsidP="00411A65">
            <w:pPr>
              <w:jc w:val="center"/>
              <w:rPr>
                <w:rFonts w:ascii="Calibri" w:hAnsi="Calibri"/>
                <w:b/>
                <w:bCs/>
                <w:sz w:val="20"/>
                <w:szCs w:val="20"/>
              </w:rPr>
            </w:pPr>
            <w:r w:rsidRPr="00411A65">
              <w:rPr>
                <w:rFonts w:ascii="Calibri" w:hAnsi="Calibri"/>
                <w:b/>
                <w:bCs/>
                <w:sz w:val="20"/>
                <w:szCs w:val="20"/>
                <w:lang w:val="sr-Cyrl-BA"/>
              </w:rPr>
              <w:t>Индекс</w:t>
            </w:r>
          </w:p>
        </w:tc>
      </w:tr>
      <w:tr w:rsidR="006727C1" w:rsidRPr="00411A65" w:rsidTr="006727C1">
        <w:trPr>
          <w:trHeight w:val="330"/>
        </w:trPr>
        <w:tc>
          <w:tcPr>
            <w:tcW w:w="3559" w:type="dxa"/>
            <w:vMerge/>
            <w:tcBorders>
              <w:top w:val="single" w:sz="8" w:space="0" w:color="auto"/>
              <w:left w:val="single" w:sz="8" w:space="0" w:color="auto"/>
              <w:bottom w:val="single" w:sz="8" w:space="0" w:color="000000"/>
              <w:right w:val="single" w:sz="8" w:space="0" w:color="auto"/>
            </w:tcBorders>
            <w:vAlign w:val="center"/>
            <w:hideMark/>
          </w:tcPr>
          <w:p w:rsidR="006727C1" w:rsidRPr="00411A65" w:rsidRDefault="006727C1" w:rsidP="00411A65">
            <w:pPr>
              <w:jc w:val="left"/>
              <w:rPr>
                <w:rFonts w:ascii="Calibri" w:hAnsi="Calibri"/>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6727C1" w:rsidRPr="00411A65" w:rsidRDefault="006727C1" w:rsidP="00411A65">
            <w:pPr>
              <w:jc w:val="left"/>
              <w:rPr>
                <w:rFonts w:ascii="Calibri" w:hAnsi="Calibri"/>
                <w:b/>
                <w:bCs/>
                <w:sz w:val="20"/>
                <w:szCs w:val="20"/>
              </w:rPr>
            </w:pPr>
          </w:p>
        </w:tc>
        <w:tc>
          <w:tcPr>
            <w:tcW w:w="1843" w:type="dxa"/>
            <w:tcBorders>
              <w:top w:val="nil"/>
              <w:left w:val="nil"/>
              <w:bottom w:val="single" w:sz="8" w:space="0" w:color="auto"/>
              <w:right w:val="single" w:sz="8" w:space="0" w:color="auto"/>
            </w:tcBorders>
            <w:shd w:val="clear" w:color="000000" w:fill="8DB3E2"/>
            <w:noWrap/>
            <w:vAlign w:val="center"/>
            <w:hideMark/>
          </w:tcPr>
          <w:p w:rsidR="006727C1" w:rsidRPr="00411A65" w:rsidRDefault="006727C1" w:rsidP="00411A65">
            <w:pPr>
              <w:jc w:val="center"/>
              <w:rPr>
                <w:rFonts w:ascii="Calibri" w:hAnsi="Calibri"/>
                <w:b/>
                <w:bCs/>
                <w:sz w:val="20"/>
                <w:szCs w:val="20"/>
              </w:rPr>
            </w:pPr>
            <w:r w:rsidRPr="00411A65">
              <w:rPr>
                <w:rFonts w:ascii="Calibri" w:hAnsi="Calibri"/>
                <w:b/>
                <w:bCs/>
                <w:sz w:val="20"/>
                <w:szCs w:val="20"/>
                <w:lang w:val="sr-Cyrl-BA"/>
              </w:rPr>
              <w:t>2024. године</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6727C1" w:rsidRPr="00411A65" w:rsidRDefault="006727C1" w:rsidP="00411A65">
            <w:pPr>
              <w:jc w:val="left"/>
              <w:rPr>
                <w:rFonts w:ascii="Calibri" w:hAnsi="Calibri"/>
                <w:b/>
                <w:bCs/>
                <w:sz w:val="20"/>
                <w:szCs w:val="20"/>
              </w:rPr>
            </w:pP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6727C1" w:rsidRPr="00411A65" w:rsidRDefault="006727C1" w:rsidP="00411A65">
            <w:pPr>
              <w:jc w:val="left"/>
              <w:rPr>
                <w:rFonts w:ascii="Calibri" w:hAnsi="Calibri"/>
                <w:b/>
                <w:bCs/>
                <w:sz w:val="20"/>
                <w:szCs w:val="20"/>
              </w:rPr>
            </w:pPr>
            <w:r w:rsidRPr="00411A65">
              <w:rPr>
                <w:rFonts w:ascii="Calibri" w:hAnsi="Calibri"/>
                <w:b/>
                <w:bCs/>
                <w:sz w:val="20"/>
                <w:szCs w:val="20"/>
                <w:lang w:val="en-US"/>
              </w:rPr>
              <w:t>Укупни приходи</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2.460.000,00</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1.670.371,79</w:t>
            </w:r>
          </w:p>
        </w:tc>
        <w:tc>
          <w:tcPr>
            <w:tcW w:w="1559"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67,90</w:t>
            </w: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6727C1" w:rsidRPr="00411A65" w:rsidRDefault="006727C1" w:rsidP="00411A65">
            <w:pPr>
              <w:jc w:val="left"/>
              <w:rPr>
                <w:rFonts w:ascii="Calibri" w:hAnsi="Calibri"/>
                <w:sz w:val="20"/>
                <w:szCs w:val="20"/>
              </w:rPr>
            </w:pPr>
            <w:r w:rsidRPr="00411A65">
              <w:rPr>
                <w:rFonts w:ascii="Calibri" w:hAnsi="Calibri"/>
                <w:sz w:val="20"/>
                <w:szCs w:val="20"/>
                <w:lang w:val="en-US"/>
              </w:rPr>
              <w:t>Приходи из редовне дјелатности</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sz w:val="20"/>
                <w:szCs w:val="20"/>
              </w:rPr>
            </w:pPr>
            <w:r w:rsidRPr="00411A65">
              <w:rPr>
                <w:rFonts w:ascii="Calibri" w:hAnsi="Calibri"/>
                <w:sz w:val="20"/>
                <w:szCs w:val="20"/>
                <w:lang w:val="sr-Cyrl-BA"/>
              </w:rPr>
              <w:t>2.110.000,00</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color w:val="auto"/>
                <w:sz w:val="20"/>
                <w:szCs w:val="20"/>
              </w:rPr>
            </w:pPr>
            <w:r w:rsidRPr="00411A65">
              <w:rPr>
                <w:rFonts w:ascii="Calibri" w:hAnsi="Calibri"/>
                <w:color w:val="auto"/>
                <w:sz w:val="20"/>
                <w:szCs w:val="20"/>
                <w:lang w:val="sr-Cyrl-BA"/>
              </w:rPr>
              <w:t>1.049.976,43</w:t>
            </w:r>
          </w:p>
        </w:tc>
        <w:tc>
          <w:tcPr>
            <w:tcW w:w="1559" w:type="dxa"/>
            <w:tcBorders>
              <w:top w:val="nil"/>
              <w:left w:val="nil"/>
              <w:bottom w:val="single" w:sz="8" w:space="0" w:color="auto"/>
              <w:right w:val="single" w:sz="8" w:space="0" w:color="auto"/>
            </w:tcBorders>
            <w:shd w:val="clear" w:color="000000" w:fill="FFFFFF"/>
            <w:vAlign w:val="center"/>
            <w:hideMark/>
          </w:tcPr>
          <w:p w:rsidR="006727C1" w:rsidRPr="003F77E8" w:rsidRDefault="006727C1" w:rsidP="00411A65">
            <w:pPr>
              <w:jc w:val="right"/>
              <w:rPr>
                <w:rFonts w:ascii="Calibri" w:hAnsi="Calibri"/>
                <w:bCs/>
                <w:sz w:val="20"/>
                <w:szCs w:val="20"/>
              </w:rPr>
            </w:pPr>
            <w:r w:rsidRPr="003F77E8">
              <w:rPr>
                <w:rFonts w:ascii="Calibri" w:hAnsi="Calibri"/>
                <w:bCs/>
                <w:sz w:val="20"/>
                <w:szCs w:val="20"/>
                <w:lang w:val="sr-Cyrl-BA"/>
              </w:rPr>
              <w:t>49,76</w:t>
            </w: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6727C1" w:rsidRPr="00411A65" w:rsidRDefault="006727C1" w:rsidP="00411A65">
            <w:pPr>
              <w:jc w:val="left"/>
              <w:rPr>
                <w:rFonts w:ascii="Calibri" w:hAnsi="Calibri"/>
                <w:sz w:val="20"/>
                <w:szCs w:val="20"/>
              </w:rPr>
            </w:pPr>
            <w:r w:rsidRPr="00411A65">
              <w:rPr>
                <w:rFonts w:ascii="Calibri" w:hAnsi="Calibri"/>
                <w:sz w:val="20"/>
                <w:szCs w:val="20"/>
                <w:lang w:val="en-US"/>
              </w:rPr>
              <w:t>Приходи од укидања резервисања</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sz w:val="20"/>
                <w:szCs w:val="20"/>
              </w:rPr>
            </w:pPr>
            <w:r w:rsidRPr="00411A65">
              <w:rPr>
                <w:rFonts w:ascii="Calibri" w:hAnsi="Calibri"/>
                <w:sz w:val="20"/>
                <w:szCs w:val="20"/>
                <w:lang w:val="sr-Cyrl-BA"/>
              </w:rPr>
              <w:t>350.000,00</w:t>
            </w:r>
          </w:p>
        </w:tc>
        <w:tc>
          <w:tcPr>
            <w:tcW w:w="1843" w:type="dxa"/>
            <w:tcBorders>
              <w:top w:val="nil"/>
              <w:left w:val="nil"/>
              <w:bottom w:val="single" w:sz="8" w:space="0" w:color="auto"/>
              <w:right w:val="single" w:sz="8" w:space="0" w:color="auto"/>
            </w:tcBorders>
            <w:shd w:val="clear" w:color="000000" w:fill="FFFFFF"/>
            <w:noWrap/>
            <w:vAlign w:val="center"/>
            <w:hideMark/>
          </w:tcPr>
          <w:p w:rsidR="006727C1" w:rsidRPr="00411A65" w:rsidRDefault="006727C1" w:rsidP="00411A65">
            <w:pPr>
              <w:jc w:val="right"/>
              <w:rPr>
                <w:rFonts w:ascii="Calibri" w:hAnsi="Calibri"/>
                <w:color w:val="auto"/>
                <w:sz w:val="20"/>
                <w:szCs w:val="20"/>
              </w:rPr>
            </w:pPr>
            <w:r w:rsidRPr="00411A65">
              <w:rPr>
                <w:rFonts w:ascii="Calibri" w:hAnsi="Calibri"/>
                <w:color w:val="auto"/>
                <w:sz w:val="20"/>
                <w:szCs w:val="20"/>
                <w:lang w:val="sr-Cyrl-BA"/>
              </w:rPr>
              <w:t>620.395,36</w:t>
            </w:r>
          </w:p>
        </w:tc>
        <w:tc>
          <w:tcPr>
            <w:tcW w:w="1559" w:type="dxa"/>
            <w:tcBorders>
              <w:top w:val="nil"/>
              <w:left w:val="nil"/>
              <w:bottom w:val="single" w:sz="8" w:space="0" w:color="auto"/>
              <w:right w:val="single" w:sz="8" w:space="0" w:color="auto"/>
            </w:tcBorders>
            <w:shd w:val="clear" w:color="000000" w:fill="FFFFFF"/>
            <w:vAlign w:val="center"/>
            <w:hideMark/>
          </w:tcPr>
          <w:p w:rsidR="006727C1" w:rsidRPr="003F77E8" w:rsidRDefault="006727C1" w:rsidP="00411A65">
            <w:pPr>
              <w:jc w:val="right"/>
              <w:rPr>
                <w:rFonts w:ascii="Calibri" w:hAnsi="Calibri"/>
                <w:bCs/>
                <w:sz w:val="20"/>
                <w:szCs w:val="20"/>
              </w:rPr>
            </w:pPr>
            <w:r w:rsidRPr="003F77E8">
              <w:rPr>
                <w:rFonts w:ascii="Calibri" w:hAnsi="Calibri"/>
                <w:bCs/>
                <w:sz w:val="20"/>
                <w:szCs w:val="20"/>
                <w:lang w:val="sr-Cyrl-BA"/>
              </w:rPr>
              <w:t>177,26</w:t>
            </w: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6727C1" w:rsidRPr="00411A65" w:rsidRDefault="006727C1" w:rsidP="00411A65">
            <w:pPr>
              <w:jc w:val="left"/>
              <w:rPr>
                <w:rFonts w:ascii="Calibri" w:hAnsi="Calibri"/>
                <w:b/>
                <w:bCs/>
                <w:sz w:val="20"/>
                <w:szCs w:val="20"/>
              </w:rPr>
            </w:pPr>
            <w:r w:rsidRPr="00411A65">
              <w:rPr>
                <w:rFonts w:ascii="Calibri" w:hAnsi="Calibri"/>
                <w:b/>
                <w:bCs/>
                <w:sz w:val="20"/>
                <w:szCs w:val="20"/>
                <w:lang w:val="en-US"/>
              </w:rPr>
              <w:t>Укупни расходи</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2.419.133,00</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2.656.957,48</w:t>
            </w:r>
          </w:p>
        </w:tc>
        <w:tc>
          <w:tcPr>
            <w:tcW w:w="1559"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109,83</w:t>
            </w: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6727C1" w:rsidRPr="00411A65" w:rsidRDefault="006727C1" w:rsidP="00411A65">
            <w:pPr>
              <w:jc w:val="left"/>
              <w:rPr>
                <w:rFonts w:ascii="Calibri" w:hAnsi="Calibri"/>
                <w:sz w:val="20"/>
                <w:szCs w:val="20"/>
              </w:rPr>
            </w:pPr>
            <w:r w:rsidRPr="00411A65">
              <w:rPr>
                <w:rFonts w:ascii="Calibri" w:hAnsi="Calibri"/>
                <w:sz w:val="20"/>
                <w:szCs w:val="20"/>
                <w:lang w:val="en-US"/>
              </w:rPr>
              <w:t>Трошкови пословања</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sz w:val="20"/>
                <w:szCs w:val="20"/>
              </w:rPr>
            </w:pPr>
            <w:r w:rsidRPr="00411A65">
              <w:rPr>
                <w:rFonts w:ascii="Calibri" w:hAnsi="Calibri"/>
                <w:sz w:val="20"/>
                <w:szCs w:val="20"/>
                <w:lang w:val="sr-Cyrl-BA"/>
              </w:rPr>
              <w:t>2.194.133,00</w:t>
            </w:r>
          </w:p>
        </w:tc>
        <w:tc>
          <w:tcPr>
            <w:tcW w:w="1843" w:type="dxa"/>
            <w:tcBorders>
              <w:top w:val="nil"/>
              <w:left w:val="nil"/>
              <w:bottom w:val="single" w:sz="8" w:space="0" w:color="auto"/>
              <w:right w:val="single" w:sz="8" w:space="0" w:color="auto"/>
            </w:tcBorders>
            <w:shd w:val="clear" w:color="000000" w:fill="FFFFFF"/>
            <w:noWrap/>
            <w:vAlign w:val="center"/>
            <w:hideMark/>
          </w:tcPr>
          <w:p w:rsidR="006727C1" w:rsidRPr="004A36D0" w:rsidRDefault="006727C1" w:rsidP="00411A65">
            <w:pPr>
              <w:jc w:val="right"/>
              <w:rPr>
                <w:rFonts w:ascii="Calibri" w:hAnsi="Calibri"/>
                <w:color w:val="000000" w:themeColor="text1"/>
                <w:sz w:val="20"/>
                <w:szCs w:val="20"/>
              </w:rPr>
            </w:pPr>
            <w:r w:rsidRPr="004A36D0">
              <w:rPr>
                <w:rFonts w:ascii="Calibri" w:hAnsi="Calibri"/>
                <w:bCs/>
                <w:sz w:val="18"/>
                <w:szCs w:val="18"/>
              </w:rPr>
              <w:t>1.835.519,90</w:t>
            </w:r>
          </w:p>
        </w:tc>
        <w:tc>
          <w:tcPr>
            <w:tcW w:w="1559" w:type="dxa"/>
            <w:tcBorders>
              <w:top w:val="nil"/>
              <w:left w:val="nil"/>
              <w:bottom w:val="single" w:sz="8" w:space="0" w:color="auto"/>
              <w:right w:val="single" w:sz="8" w:space="0" w:color="auto"/>
            </w:tcBorders>
            <w:shd w:val="clear" w:color="000000" w:fill="FFFFFF"/>
            <w:vAlign w:val="center"/>
            <w:hideMark/>
          </w:tcPr>
          <w:p w:rsidR="006727C1" w:rsidRPr="003F77E8" w:rsidRDefault="00AF1DA9" w:rsidP="00411A65">
            <w:pPr>
              <w:jc w:val="right"/>
              <w:rPr>
                <w:rFonts w:ascii="Calibri" w:hAnsi="Calibri"/>
                <w:bCs/>
                <w:sz w:val="20"/>
                <w:szCs w:val="20"/>
              </w:rPr>
            </w:pPr>
            <w:r w:rsidRPr="003F77E8">
              <w:rPr>
                <w:rFonts w:ascii="Calibri" w:hAnsi="Calibri"/>
                <w:bCs/>
                <w:sz w:val="20"/>
                <w:szCs w:val="20"/>
                <w:lang w:val="sr-Cyrl-RS"/>
              </w:rPr>
              <w:t>83,65</w:t>
            </w: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6727C1" w:rsidRPr="00411A65" w:rsidRDefault="006727C1" w:rsidP="00411A65">
            <w:pPr>
              <w:jc w:val="left"/>
              <w:rPr>
                <w:rFonts w:ascii="Calibri" w:hAnsi="Calibri"/>
                <w:sz w:val="20"/>
                <w:szCs w:val="20"/>
              </w:rPr>
            </w:pPr>
            <w:r w:rsidRPr="00411A65">
              <w:rPr>
                <w:rFonts w:ascii="Calibri" w:hAnsi="Calibri"/>
                <w:sz w:val="20"/>
                <w:szCs w:val="20"/>
                <w:lang w:val="sr-Cyrl-RS"/>
              </w:rPr>
              <w:t xml:space="preserve">Расходи </w:t>
            </w:r>
          </w:p>
        </w:tc>
        <w:tc>
          <w:tcPr>
            <w:tcW w:w="1843" w:type="dxa"/>
            <w:tcBorders>
              <w:top w:val="nil"/>
              <w:left w:val="nil"/>
              <w:bottom w:val="single" w:sz="8" w:space="0" w:color="auto"/>
              <w:right w:val="single" w:sz="8" w:space="0" w:color="auto"/>
            </w:tcBorders>
            <w:shd w:val="clear" w:color="000000" w:fill="FFFFFF"/>
            <w:vAlign w:val="center"/>
            <w:hideMark/>
          </w:tcPr>
          <w:p w:rsidR="006727C1" w:rsidRPr="00411A65" w:rsidRDefault="006727C1" w:rsidP="00411A65">
            <w:pPr>
              <w:jc w:val="right"/>
              <w:rPr>
                <w:rFonts w:ascii="Calibri" w:hAnsi="Calibri"/>
                <w:sz w:val="20"/>
                <w:szCs w:val="20"/>
              </w:rPr>
            </w:pPr>
            <w:r w:rsidRPr="00411A65">
              <w:rPr>
                <w:rFonts w:ascii="Calibri" w:hAnsi="Calibri"/>
                <w:sz w:val="20"/>
                <w:szCs w:val="20"/>
                <w:lang w:val="sr-Cyrl-BA"/>
              </w:rPr>
              <w:t>225.000,00</w:t>
            </w:r>
          </w:p>
        </w:tc>
        <w:tc>
          <w:tcPr>
            <w:tcW w:w="1843" w:type="dxa"/>
            <w:tcBorders>
              <w:top w:val="nil"/>
              <w:left w:val="nil"/>
              <w:bottom w:val="single" w:sz="8" w:space="0" w:color="auto"/>
              <w:right w:val="single" w:sz="8" w:space="0" w:color="auto"/>
            </w:tcBorders>
            <w:shd w:val="clear" w:color="000000" w:fill="FFFFFF"/>
            <w:noWrap/>
            <w:vAlign w:val="center"/>
            <w:hideMark/>
          </w:tcPr>
          <w:p w:rsidR="006727C1" w:rsidRPr="008B5A35" w:rsidRDefault="006727C1" w:rsidP="00411A65">
            <w:pPr>
              <w:jc w:val="right"/>
              <w:rPr>
                <w:rFonts w:ascii="Calibri" w:hAnsi="Calibri"/>
                <w:color w:val="000000" w:themeColor="text1"/>
                <w:sz w:val="20"/>
                <w:szCs w:val="20"/>
              </w:rPr>
            </w:pPr>
            <w:r>
              <w:rPr>
                <w:rFonts w:ascii="Calibri" w:hAnsi="Calibri"/>
                <w:color w:val="000000" w:themeColor="text1"/>
                <w:sz w:val="20"/>
                <w:szCs w:val="20"/>
                <w:lang w:val="sr-Cyrl-BA"/>
              </w:rPr>
              <w:t>821.437,58</w:t>
            </w:r>
          </w:p>
        </w:tc>
        <w:tc>
          <w:tcPr>
            <w:tcW w:w="1559" w:type="dxa"/>
            <w:tcBorders>
              <w:top w:val="nil"/>
              <w:left w:val="nil"/>
              <w:bottom w:val="single" w:sz="8" w:space="0" w:color="auto"/>
              <w:right w:val="single" w:sz="8" w:space="0" w:color="auto"/>
            </w:tcBorders>
            <w:shd w:val="clear" w:color="000000" w:fill="FFFFFF"/>
            <w:vAlign w:val="center"/>
            <w:hideMark/>
          </w:tcPr>
          <w:p w:rsidR="006727C1" w:rsidRPr="003F77E8" w:rsidRDefault="00AF1DA9" w:rsidP="00411A65">
            <w:pPr>
              <w:jc w:val="right"/>
              <w:rPr>
                <w:rFonts w:ascii="Calibri" w:hAnsi="Calibri"/>
                <w:bCs/>
                <w:sz w:val="20"/>
                <w:szCs w:val="20"/>
              </w:rPr>
            </w:pPr>
            <w:r w:rsidRPr="003F77E8">
              <w:rPr>
                <w:rFonts w:ascii="Calibri" w:hAnsi="Calibri"/>
                <w:bCs/>
                <w:sz w:val="20"/>
                <w:szCs w:val="20"/>
                <w:lang w:val="sr-Cyrl-RS"/>
              </w:rPr>
              <w:t>365,08</w:t>
            </w:r>
          </w:p>
        </w:tc>
      </w:tr>
      <w:tr w:rsidR="006727C1" w:rsidRPr="00411A65" w:rsidTr="006727C1">
        <w:trPr>
          <w:trHeight w:val="330"/>
        </w:trPr>
        <w:tc>
          <w:tcPr>
            <w:tcW w:w="3559" w:type="dxa"/>
            <w:tcBorders>
              <w:top w:val="nil"/>
              <w:left w:val="single" w:sz="8" w:space="0" w:color="auto"/>
              <w:bottom w:val="single" w:sz="8" w:space="0" w:color="auto"/>
              <w:right w:val="single" w:sz="8" w:space="0" w:color="auto"/>
            </w:tcBorders>
            <w:shd w:val="clear" w:color="000000" w:fill="8DB3E2"/>
            <w:noWrap/>
            <w:vAlign w:val="center"/>
            <w:hideMark/>
          </w:tcPr>
          <w:p w:rsidR="006727C1" w:rsidRPr="00411A65" w:rsidRDefault="006727C1" w:rsidP="00411A65">
            <w:pPr>
              <w:jc w:val="left"/>
              <w:rPr>
                <w:rFonts w:ascii="Calibri" w:hAnsi="Calibri"/>
                <w:b/>
                <w:bCs/>
                <w:sz w:val="20"/>
                <w:szCs w:val="20"/>
              </w:rPr>
            </w:pPr>
            <w:r w:rsidRPr="00411A65">
              <w:rPr>
                <w:rFonts w:ascii="Calibri" w:hAnsi="Calibri"/>
                <w:b/>
                <w:bCs/>
                <w:sz w:val="20"/>
                <w:szCs w:val="20"/>
                <w:lang w:val="sr-Cyrl-BA"/>
              </w:rPr>
              <w:t>Добит/Губитак</w:t>
            </w:r>
          </w:p>
        </w:tc>
        <w:tc>
          <w:tcPr>
            <w:tcW w:w="1843" w:type="dxa"/>
            <w:tcBorders>
              <w:top w:val="nil"/>
              <w:left w:val="nil"/>
              <w:bottom w:val="single" w:sz="8" w:space="0" w:color="auto"/>
              <w:right w:val="single" w:sz="8" w:space="0" w:color="auto"/>
            </w:tcBorders>
            <w:shd w:val="clear" w:color="000000" w:fill="8DB3E2"/>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40.867,00</w:t>
            </w:r>
          </w:p>
        </w:tc>
        <w:tc>
          <w:tcPr>
            <w:tcW w:w="1843" w:type="dxa"/>
            <w:tcBorders>
              <w:top w:val="nil"/>
              <w:left w:val="nil"/>
              <w:bottom w:val="single" w:sz="8" w:space="0" w:color="auto"/>
              <w:right w:val="single" w:sz="8" w:space="0" w:color="auto"/>
            </w:tcBorders>
            <w:shd w:val="clear" w:color="000000" w:fill="8DB3E2"/>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lang w:val="sr-Cyrl-BA"/>
              </w:rPr>
              <w:t>-986.585,69</w:t>
            </w:r>
          </w:p>
        </w:tc>
        <w:tc>
          <w:tcPr>
            <w:tcW w:w="1559" w:type="dxa"/>
            <w:tcBorders>
              <w:top w:val="nil"/>
              <w:left w:val="nil"/>
              <w:bottom w:val="single" w:sz="8" w:space="0" w:color="auto"/>
              <w:right w:val="single" w:sz="8" w:space="0" w:color="auto"/>
            </w:tcBorders>
            <w:shd w:val="clear" w:color="000000" w:fill="8DB3E2"/>
            <w:vAlign w:val="center"/>
            <w:hideMark/>
          </w:tcPr>
          <w:p w:rsidR="006727C1" w:rsidRPr="00411A65" w:rsidRDefault="006727C1" w:rsidP="00411A65">
            <w:pPr>
              <w:jc w:val="right"/>
              <w:rPr>
                <w:rFonts w:ascii="Calibri" w:hAnsi="Calibri"/>
                <w:b/>
                <w:bCs/>
                <w:sz w:val="20"/>
                <w:szCs w:val="20"/>
              </w:rPr>
            </w:pPr>
            <w:r w:rsidRPr="00411A65">
              <w:rPr>
                <w:rFonts w:ascii="Calibri" w:hAnsi="Calibri"/>
                <w:b/>
                <w:bCs/>
                <w:sz w:val="20"/>
                <w:szCs w:val="20"/>
              </w:rPr>
              <w:t>0,00</w:t>
            </w:r>
          </w:p>
        </w:tc>
      </w:tr>
    </w:tbl>
    <w:p w:rsidR="001538EF" w:rsidRPr="005767EF"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t xml:space="preserve">      </w:t>
      </w:r>
      <w:r w:rsidRPr="005767EF">
        <w:rPr>
          <w:rFonts w:asciiTheme="minorHAnsi" w:eastAsia="Calibri" w:hAnsiTheme="minorHAnsi"/>
          <w:b/>
          <w:color w:val="auto"/>
          <w:sz w:val="20"/>
          <w:szCs w:val="20"/>
          <w:lang w:val="en-GB" w:eastAsia="en-US"/>
        </w:rPr>
        <w:t xml:space="preserve"> </w:t>
      </w:r>
      <w:r w:rsidR="009346DA">
        <w:rPr>
          <w:rFonts w:asciiTheme="minorHAnsi" w:eastAsia="Calibri" w:hAnsiTheme="minorHAnsi"/>
          <w:b/>
          <w:color w:val="auto"/>
          <w:sz w:val="20"/>
          <w:szCs w:val="20"/>
          <w:lang w:val="sr-Cyrl-RS" w:eastAsia="en-US"/>
        </w:rPr>
        <w:t xml:space="preserve">       </w:t>
      </w:r>
    </w:p>
    <w:p w:rsidR="001538EF" w:rsidRPr="003D0D57" w:rsidRDefault="001538EF" w:rsidP="001538EF">
      <w:pPr>
        <w:jc w:val="left"/>
        <w:rPr>
          <w:rFonts w:asciiTheme="minorHAnsi" w:eastAsia="Calibri" w:hAnsiTheme="minorHAnsi"/>
          <w:b/>
          <w:color w:val="auto"/>
          <w:sz w:val="20"/>
          <w:szCs w:val="20"/>
          <w:lang w:val="en-GB" w:eastAsia="en-US"/>
        </w:rPr>
      </w:pPr>
    </w:p>
    <w:p w:rsidR="00575C8E" w:rsidRPr="00575C8E" w:rsidRDefault="003F77E8" w:rsidP="001538EF">
      <w:pPr>
        <w:rPr>
          <w:rFonts w:asciiTheme="minorHAnsi" w:eastAsia="Calibri" w:hAnsiTheme="minorHAnsi"/>
          <w:color w:val="auto"/>
          <w:sz w:val="20"/>
          <w:szCs w:val="20"/>
          <w:lang w:val="sr-Cyrl-BA" w:eastAsia="en-US"/>
        </w:rPr>
      </w:pPr>
      <w:r w:rsidRPr="00575C8E">
        <w:rPr>
          <w:rFonts w:asciiTheme="minorHAnsi" w:eastAsia="Calibri" w:hAnsiTheme="minorHAnsi"/>
          <w:color w:val="auto"/>
          <w:sz w:val="20"/>
          <w:szCs w:val="20"/>
          <w:lang w:val="sr-Cyrl-RS" w:eastAsia="en-US"/>
        </w:rPr>
        <w:t>Гарантни ф</w:t>
      </w:r>
      <w:r w:rsidRPr="00575C8E">
        <w:rPr>
          <w:rFonts w:asciiTheme="minorHAnsi" w:eastAsia="Calibri" w:hAnsiTheme="minorHAnsi"/>
          <w:color w:val="auto"/>
          <w:sz w:val="20"/>
          <w:szCs w:val="20"/>
          <w:lang w:val="en-GB" w:eastAsia="en-US"/>
        </w:rPr>
        <w:t xml:space="preserve">онд </w:t>
      </w:r>
      <w:r>
        <w:rPr>
          <w:rFonts w:asciiTheme="minorHAnsi" w:eastAsia="Calibri" w:hAnsiTheme="minorHAnsi"/>
          <w:color w:val="auto"/>
          <w:sz w:val="20"/>
          <w:szCs w:val="20"/>
          <w:lang w:val="sr-Cyrl-RS" w:eastAsia="en-US"/>
        </w:rPr>
        <w:t>је</w:t>
      </w:r>
      <w:r w:rsidR="001538EF" w:rsidRPr="00575C8E">
        <w:rPr>
          <w:rFonts w:asciiTheme="minorHAnsi" w:eastAsia="Calibri" w:hAnsiTheme="minorHAnsi"/>
          <w:color w:val="auto"/>
          <w:sz w:val="20"/>
          <w:szCs w:val="20"/>
          <w:lang w:val="en-GB" w:eastAsia="en-US"/>
        </w:rPr>
        <w:t xml:space="preserve"> </w:t>
      </w:r>
      <w:r>
        <w:rPr>
          <w:rFonts w:asciiTheme="minorHAnsi" w:eastAsia="Calibri" w:hAnsiTheme="minorHAnsi"/>
          <w:color w:val="auto"/>
          <w:sz w:val="20"/>
          <w:szCs w:val="20"/>
          <w:lang w:val="sr-Cyrl-RS" w:eastAsia="en-US"/>
        </w:rPr>
        <w:t xml:space="preserve">у </w:t>
      </w:r>
      <w:r w:rsidR="001538EF" w:rsidRPr="00575C8E">
        <w:rPr>
          <w:rFonts w:asciiTheme="minorHAnsi" w:eastAsia="Calibri" w:hAnsiTheme="minorHAnsi"/>
          <w:color w:val="auto"/>
          <w:sz w:val="20"/>
          <w:szCs w:val="20"/>
          <w:lang w:val="en-GB" w:eastAsia="en-US"/>
        </w:rPr>
        <w:t>202</w:t>
      </w:r>
      <w:r w:rsidR="00411A65" w:rsidRPr="00575C8E">
        <w:rPr>
          <w:rFonts w:asciiTheme="minorHAnsi" w:eastAsia="Calibri" w:hAnsiTheme="minorHAnsi"/>
          <w:color w:val="auto"/>
          <w:sz w:val="20"/>
          <w:szCs w:val="20"/>
          <w:lang w:val="sr-Cyrl-BA" w:eastAsia="en-US"/>
        </w:rPr>
        <w:t>4</w:t>
      </w:r>
      <w:r w:rsidR="001538EF" w:rsidRPr="00575C8E">
        <w:rPr>
          <w:rFonts w:asciiTheme="minorHAnsi" w:eastAsia="Calibri" w:hAnsiTheme="minorHAnsi"/>
          <w:color w:val="auto"/>
          <w:sz w:val="20"/>
          <w:szCs w:val="20"/>
          <w:lang w:val="en-GB" w:eastAsia="en-US"/>
        </w:rPr>
        <w:t>. години</w:t>
      </w:r>
      <w:r w:rsidR="001538EF" w:rsidRPr="00575C8E">
        <w:rPr>
          <w:rFonts w:asciiTheme="minorHAnsi" w:eastAsia="Calibri" w:hAnsiTheme="minorHAnsi"/>
          <w:color w:val="auto"/>
          <w:sz w:val="20"/>
          <w:szCs w:val="20"/>
          <w:lang w:val="sr-Cyrl-BA" w:eastAsia="en-US"/>
        </w:rPr>
        <w:t xml:space="preserve"> остварио </w:t>
      </w:r>
      <w:r w:rsidR="008F42D1">
        <w:rPr>
          <w:rFonts w:asciiTheme="minorHAnsi" w:eastAsia="Calibri" w:hAnsiTheme="minorHAnsi"/>
          <w:color w:val="auto"/>
          <w:sz w:val="20"/>
          <w:szCs w:val="20"/>
          <w:lang w:val="sr-Cyrl-BA" w:eastAsia="en-US"/>
        </w:rPr>
        <w:t>укупне приходе у износу од 1.670.371,79 КМ</w:t>
      </w:r>
      <w:r w:rsidR="00580046">
        <w:rPr>
          <w:rFonts w:asciiTheme="minorHAnsi" w:eastAsia="Calibri" w:hAnsiTheme="minorHAnsi"/>
          <w:color w:val="auto"/>
          <w:sz w:val="20"/>
          <w:szCs w:val="20"/>
          <w:lang w:val="sr-Cyrl-BA" w:eastAsia="en-US"/>
        </w:rPr>
        <w:t xml:space="preserve"> и</w:t>
      </w:r>
      <w:r w:rsidR="008F42D1">
        <w:rPr>
          <w:rFonts w:asciiTheme="minorHAnsi" w:eastAsia="Calibri" w:hAnsiTheme="minorHAnsi"/>
          <w:color w:val="auto"/>
          <w:sz w:val="20"/>
          <w:szCs w:val="20"/>
          <w:lang w:val="sr-Cyrl-BA" w:eastAsia="en-US"/>
        </w:rPr>
        <w:t xml:space="preserve"> укупне расходе </w:t>
      </w:r>
      <w:r w:rsidR="00580046">
        <w:rPr>
          <w:rFonts w:asciiTheme="minorHAnsi" w:eastAsia="Calibri" w:hAnsiTheme="minorHAnsi"/>
          <w:color w:val="auto"/>
          <w:sz w:val="20"/>
          <w:szCs w:val="20"/>
          <w:lang w:val="sr-Cyrl-BA" w:eastAsia="en-US"/>
        </w:rPr>
        <w:t xml:space="preserve">у износу од 2.656.957,48 КМ. </w:t>
      </w:r>
      <w:r w:rsidR="00FC0A14">
        <w:rPr>
          <w:rFonts w:asciiTheme="minorHAnsi" w:eastAsia="Calibri" w:hAnsiTheme="minorHAnsi"/>
          <w:color w:val="auto"/>
          <w:sz w:val="20"/>
          <w:szCs w:val="20"/>
          <w:lang w:val="sr-Cyrl-BA" w:eastAsia="en-US"/>
        </w:rPr>
        <w:t>Фонд је пословао негативно, са губитком у износу од</w:t>
      </w:r>
      <w:r w:rsidR="00580046">
        <w:rPr>
          <w:rFonts w:asciiTheme="minorHAnsi" w:eastAsia="Calibri" w:hAnsiTheme="minorHAnsi"/>
          <w:color w:val="auto"/>
          <w:sz w:val="20"/>
          <w:szCs w:val="20"/>
          <w:lang w:val="sr-Cyrl-BA" w:eastAsia="en-US"/>
        </w:rPr>
        <w:t xml:space="preserve"> </w:t>
      </w:r>
      <w:r w:rsidR="001538EF" w:rsidRPr="00575C8E">
        <w:rPr>
          <w:rFonts w:asciiTheme="minorHAnsi" w:eastAsia="Calibri" w:hAnsiTheme="minorHAnsi"/>
          <w:color w:val="auto"/>
          <w:sz w:val="20"/>
          <w:szCs w:val="20"/>
          <w:lang w:val="sr-Cyrl-BA" w:eastAsia="en-US"/>
        </w:rPr>
        <w:t xml:space="preserve"> </w:t>
      </w:r>
      <w:r w:rsidR="00411A65" w:rsidRPr="00575C8E">
        <w:rPr>
          <w:rFonts w:asciiTheme="minorHAnsi" w:eastAsia="Calibri" w:hAnsiTheme="minorHAnsi"/>
          <w:color w:val="auto"/>
          <w:sz w:val="20"/>
          <w:szCs w:val="20"/>
          <w:lang w:val="sr-Cyrl-BA" w:eastAsia="en-US"/>
        </w:rPr>
        <w:t>9</w:t>
      </w:r>
      <w:r w:rsidR="00131435" w:rsidRPr="00575C8E">
        <w:rPr>
          <w:rFonts w:asciiTheme="minorHAnsi" w:eastAsia="Calibri" w:hAnsiTheme="minorHAnsi"/>
          <w:color w:val="auto"/>
          <w:sz w:val="20"/>
          <w:szCs w:val="20"/>
          <w:lang w:eastAsia="en-US"/>
        </w:rPr>
        <w:t>86</w:t>
      </w:r>
      <w:r w:rsidR="00411A65" w:rsidRPr="00575C8E">
        <w:rPr>
          <w:rFonts w:asciiTheme="minorHAnsi" w:eastAsia="Calibri" w:hAnsiTheme="minorHAnsi"/>
          <w:color w:val="auto"/>
          <w:sz w:val="20"/>
          <w:szCs w:val="20"/>
          <w:lang w:val="sr-Cyrl-BA" w:eastAsia="en-US"/>
        </w:rPr>
        <w:t>.585,69</w:t>
      </w:r>
      <w:r w:rsidR="001538EF" w:rsidRPr="00575C8E">
        <w:rPr>
          <w:rFonts w:asciiTheme="minorHAnsi" w:eastAsia="Calibri" w:hAnsiTheme="minorHAnsi"/>
          <w:color w:val="auto"/>
          <w:sz w:val="20"/>
          <w:szCs w:val="20"/>
          <w:lang w:val="sr-Cyrl-BA" w:eastAsia="en-US"/>
        </w:rPr>
        <w:t xml:space="preserve"> КМ. </w:t>
      </w:r>
      <w:r w:rsidR="00FC0A14">
        <w:rPr>
          <w:rFonts w:asciiTheme="minorHAnsi" w:eastAsia="Calibri" w:hAnsiTheme="minorHAnsi"/>
          <w:color w:val="auto"/>
          <w:sz w:val="20"/>
          <w:szCs w:val="20"/>
          <w:lang w:val="sr-Cyrl-BA" w:eastAsia="en-US"/>
        </w:rPr>
        <w:t xml:space="preserve">Посматрано у односу на претходну годину, укупни приходи су повећани, а укупни расходи смањени, па је у том смислу финансијски резултат побољшан. </w:t>
      </w:r>
      <w:r w:rsidR="00ED1AED" w:rsidRPr="00575C8E">
        <w:rPr>
          <w:rFonts w:asciiTheme="minorHAnsi" w:eastAsia="Calibri" w:hAnsiTheme="minorHAnsi"/>
          <w:color w:val="auto"/>
          <w:sz w:val="20"/>
          <w:szCs w:val="20"/>
          <w:lang w:val="sr-Cyrl-BA" w:eastAsia="en-US"/>
        </w:rPr>
        <w:t xml:space="preserve">Остварени губитак </w:t>
      </w:r>
      <w:r w:rsidR="00FC0A14">
        <w:rPr>
          <w:rFonts w:asciiTheme="minorHAnsi" w:eastAsia="Calibri" w:hAnsiTheme="minorHAnsi"/>
          <w:color w:val="auto"/>
          <w:sz w:val="20"/>
          <w:szCs w:val="20"/>
          <w:lang w:val="sr-Cyrl-BA" w:eastAsia="en-US"/>
        </w:rPr>
        <w:t xml:space="preserve">у 2024. години </w:t>
      </w:r>
      <w:r w:rsidR="00ED1AED" w:rsidRPr="00575C8E">
        <w:rPr>
          <w:rFonts w:asciiTheme="minorHAnsi" w:eastAsia="Calibri" w:hAnsiTheme="minorHAnsi"/>
          <w:color w:val="auto"/>
          <w:sz w:val="20"/>
          <w:szCs w:val="20"/>
          <w:lang w:val="sr-Cyrl-BA" w:eastAsia="en-US"/>
        </w:rPr>
        <w:t>је у директној вези са неостварењем</w:t>
      </w:r>
      <w:r w:rsidR="001538EF" w:rsidRPr="00575C8E">
        <w:rPr>
          <w:rFonts w:asciiTheme="minorHAnsi" w:eastAsia="Calibri" w:hAnsiTheme="minorHAnsi"/>
          <w:color w:val="auto"/>
          <w:sz w:val="20"/>
          <w:szCs w:val="20"/>
          <w:lang w:val="sr-Cyrl-BA" w:eastAsia="en-US"/>
        </w:rPr>
        <w:t xml:space="preserve"> плана прихода од изданих гаранција,</w:t>
      </w:r>
      <w:r w:rsidR="00EA7186" w:rsidRPr="00575C8E">
        <w:rPr>
          <w:rFonts w:asciiTheme="minorHAnsi" w:eastAsia="Calibri" w:hAnsiTheme="minorHAnsi"/>
          <w:color w:val="auto"/>
          <w:sz w:val="20"/>
          <w:szCs w:val="20"/>
          <w:lang w:val="sr-Cyrl-BA" w:eastAsia="en-US"/>
        </w:rPr>
        <w:t xml:space="preserve"> односно</w:t>
      </w:r>
      <w:r w:rsidR="001538EF" w:rsidRPr="00575C8E">
        <w:rPr>
          <w:rFonts w:asciiTheme="minorHAnsi" w:eastAsia="Calibri" w:hAnsiTheme="minorHAnsi"/>
          <w:color w:val="auto"/>
          <w:sz w:val="20"/>
          <w:szCs w:val="20"/>
          <w:lang w:val="sr-Cyrl-BA" w:eastAsia="en-US"/>
        </w:rPr>
        <w:t xml:space="preserve"> неостварењем плана г</w:t>
      </w:r>
      <w:r w:rsidR="00ED1AED" w:rsidRPr="00575C8E">
        <w:rPr>
          <w:rFonts w:asciiTheme="minorHAnsi" w:eastAsia="Calibri" w:hAnsiTheme="minorHAnsi"/>
          <w:color w:val="auto"/>
          <w:sz w:val="20"/>
          <w:szCs w:val="20"/>
          <w:lang w:val="sr-Cyrl-BA" w:eastAsia="en-US"/>
        </w:rPr>
        <w:t xml:space="preserve">аранција </w:t>
      </w:r>
      <w:r w:rsidR="00F10264" w:rsidRPr="00575C8E">
        <w:rPr>
          <w:rFonts w:asciiTheme="minorHAnsi" w:eastAsia="Calibri" w:hAnsiTheme="minorHAnsi"/>
          <w:color w:val="auto"/>
          <w:sz w:val="20"/>
          <w:szCs w:val="20"/>
          <w:lang w:val="sr-Cyrl-BA" w:eastAsia="en-US"/>
        </w:rPr>
        <w:t>п</w:t>
      </w:r>
      <w:r w:rsidR="00575C8E" w:rsidRPr="00575C8E">
        <w:rPr>
          <w:rFonts w:asciiTheme="minorHAnsi" w:eastAsia="Calibri" w:hAnsiTheme="minorHAnsi"/>
          <w:color w:val="auto"/>
          <w:sz w:val="20"/>
          <w:szCs w:val="20"/>
          <w:lang w:val="sr-Cyrl-BA" w:eastAsia="en-US"/>
        </w:rPr>
        <w:t>о свим основама за дату годину</w:t>
      </w:r>
      <w:r w:rsidR="00AF1DA9">
        <w:rPr>
          <w:rFonts w:asciiTheme="minorHAnsi" w:eastAsia="Calibri" w:hAnsiTheme="minorHAnsi"/>
          <w:color w:val="auto"/>
          <w:sz w:val="20"/>
          <w:szCs w:val="20"/>
          <w:lang w:val="sr-Cyrl-BA" w:eastAsia="en-US"/>
        </w:rPr>
        <w:t xml:space="preserve"> и</w:t>
      </w:r>
      <w:r w:rsidR="00575C8E" w:rsidRPr="00575C8E">
        <w:rPr>
          <w:rFonts w:asciiTheme="minorHAnsi" w:eastAsia="Calibri" w:hAnsiTheme="minorHAnsi"/>
          <w:color w:val="auto"/>
          <w:sz w:val="20"/>
          <w:szCs w:val="20"/>
          <w:lang w:val="sr-Cyrl-BA" w:eastAsia="en-US"/>
        </w:rPr>
        <w:t xml:space="preserve"> растом расхода </w:t>
      </w:r>
      <w:r w:rsidR="00AF1DA9">
        <w:rPr>
          <w:rFonts w:asciiTheme="minorHAnsi" w:eastAsia="Calibri" w:hAnsiTheme="minorHAnsi"/>
          <w:color w:val="auto"/>
          <w:sz w:val="20"/>
          <w:szCs w:val="20"/>
          <w:lang w:val="sr-Cyrl-BA" w:eastAsia="en-US"/>
        </w:rPr>
        <w:t>услијед догађаја који се нису могли предвидјети.</w:t>
      </w:r>
      <w:r w:rsidR="00FC0A14">
        <w:rPr>
          <w:rFonts w:asciiTheme="minorHAnsi" w:eastAsia="Calibri" w:hAnsiTheme="minorHAnsi"/>
          <w:color w:val="auto"/>
          <w:sz w:val="20"/>
          <w:szCs w:val="20"/>
          <w:lang w:val="sr-Cyrl-BA" w:eastAsia="en-US"/>
        </w:rPr>
        <w:t xml:space="preserve"> </w:t>
      </w:r>
    </w:p>
    <w:p w:rsidR="00575C8E" w:rsidRDefault="00575C8E" w:rsidP="001538EF">
      <w:pPr>
        <w:rPr>
          <w:rFonts w:asciiTheme="minorHAnsi" w:eastAsia="Calibri" w:hAnsiTheme="minorHAnsi"/>
          <w:b/>
          <w:color w:val="auto"/>
          <w:sz w:val="20"/>
          <w:szCs w:val="20"/>
          <w:lang w:val="sr-Cyrl-BA" w:eastAsia="en-US"/>
        </w:rPr>
      </w:pPr>
    </w:p>
    <w:p w:rsidR="00F10264" w:rsidRPr="00575C8E" w:rsidRDefault="00F10264" w:rsidP="001538EF">
      <w:pPr>
        <w:rPr>
          <w:rFonts w:asciiTheme="minorHAnsi" w:eastAsia="Calibri" w:hAnsiTheme="minorHAnsi"/>
          <w:color w:val="auto"/>
          <w:sz w:val="20"/>
          <w:szCs w:val="20"/>
          <w:lang w:val="sr-Cyrl-BA" w:eastAsia="en-US"/>
        </w:rPr>
      </w:pPr>
      <w:r w:rsidRPr="00575C8E">
        <w:rPr>
          <w:rFonts w:asciiTheme="minorHAnsi" w:eastAsia="Calibri" w:hAnsiTheme="minorHAnsi"/>
          <w:color w:val="auto"/>
          <w:sz w:val="20"/>
          <w:szCs w:val="20"/>
          <w:lang w:val="sr-Cyrl-BA" w:eastAsia="en-US"/>
        </w:rPr>
        <w:t xml:space="preserve">Смањење гарантне активности у сегменту појединачних гаранција је </w:t>
      </w:r>
      <w:r w:rsidR="00575C8E" w:rsidRPr="00575C8E">
        <w:rPr>
          <w:rFonts w:asciiTheme="minorHAnsi" w:eastAsia="Calibri" w:hAnsiTheme="minorHAnsi"/>
          <w:color w:val="auto"/>
          <w:sz w:val="20"/>
          <w:szCs w:val="20"/>
          <w:lang w:val="sr-Cyrl-BA" w:eastAsia="en-US"/>
        </w:rPr>
        <w:t>тренд који се наставио и у 2024. години, а узрокован је</w:t>
      </w:r>
      <w:r w:rsidRPr="00575C8E">
        <w:rPr>
          <w:rFonts w:asciiTheme="minorHAnsi" w:eastAsia="Calibri" w:hAnsiTheme="minorHAnsi"/>
          <w:color w:val="auto"/>
          <w:sz w:val="20"/>
          <w:szCs w:val="20"/>
          <w:lang w:val="sr-Cyrl-BA" w:eastAsia="en-US"/>
        </w:rPr>
        <w:t xml:space="preserve"> </w:t>
      </w:r>
      <w:r w:rsidR="00575C8E" w:rsidRPr="00575C8E">
        <w:rPr>
          <w:rFonts w:asciiTheme="minorHAnsi" w:eastAsia="Calibri" w:hAnsiTheme="minorHAnsi"/>
          <w:color w:val="auto"/>
          <w:sz w:val="20"/>
          <w:szCs w:val="20"/>
          <w:lang w:val="sr-Cyrl-BA" w:eastAsia="en-US"/>
        </w:rPr>
        <w:t>потпуном</w:t>
      </w:r>
      <w:r w:rsidRPr="00575C8E">
        <w:rPr>
          <w:rFonts w:asciiTheme="minorHAnsi" w:eastAsia="Calibri" w:hAnsiTheme="minorHAnsi"/>
          <w:color w:val="auto"/>
          <w:sz w:val="20"/>
          <w:szCs w:val="20"/>
          <w:lang w:val="sr-Cyrl-BA" w:eastAsia="en-US"/>
        </w:rPr>
        <w:t xml:space="preserve"> оријентацијом финансијских посредника на издавање гаранција у оквиру кредитног портф</w:t>
      </w:r>
      <w:r w:rsidR="00131435" w:rsidRPr="00575C8E">
        <w:rPr>
          <w:rFonts w:asciiTheme="minorHAnsi" w:eastAsia="Calibri" w:hAnsiTheme="minorHAnsi"/>
          <w:color w:val="auto"/>
          <w:sz w:val="20"/>
          <w:szCs w:val="20"/>
          <w:lang w:eastAsia="en-US"/>
        </w:rPr>
        <w:t>e</w:t>
      </w:r>
      <w:r w:rsidR="00131435" w:rsidRPr="00575C8E">
        <w:rPr>
          <w:rFonts w:asciiTheme="minorHAnsi" w:eastAsia="Calibri" w:hAnsiTheme="minorHAnsi"/>
          <w:color w:val="auto"/>
          <w:sz w:val="20"/>
          <w:szCs w:val="20"/>
          <w:lang w:val="sr-Cyrl-RS" w:eastAsia="en-US"/>
        </w:rPr>
        <w:t>љ</w:t>
      </w:r>
      <w:r w:rsidRPr="00575C8E">
        <w:rPr>
          <w:rFonts w:asciiTheme="minorHAnsi" w:eastAsia="Calibri" w:hAnsiTheme="minorHAnsi"/>
          <w:color w:val="auto"/>
          <w:sz w:val="20"/>
          <w:szCs w:val="20"/>
          <w:lang w:val="sr-Cyrl-BA" w:eastAsia="en-US"/>
        </w:rPr>
        <w:t>а. Иако су</w:t>
      </w:r>
      <w:r w:rsidR="00575C8E" w:rsidRPr="00575C8E">
        <w:rPr>
          <w:rFonts w:asciiTheme="minorHAnsi" w:eastAsia="Calibri" w:hAnsiTheme="minorHAnsi"/>
          <w:color w:val="auto"/>
          <w:sz w:val="20"/>
          <w:szCs w:val="20"/>
          <w:lang w:val="sr-Cyrl-BA" w:eastAsia="en-US"/>
        </w:rPr>
        <w:t xml:space="preserve"> гаранције на кредитни портфељ</w:t>
      </w:r>
      <w:r w:rsidRPr="00575C8E">
        <w:rPr>
          <w:rFonts w:asciiTheme="minorHAnsi" w:eastAsia="Calibri" w:hAnsiTheme="minorHAnsi"/>
          <w:color w:val="auto"/>
          <w:sz w:val="20"/>
          <w:szCs w:val="20"/>
          <w:lang w:val="sr-Cyrl-BA" w:eastAsia="en-US"/>
        </w:rPr>
        <w:t xml:space="preserve"> релативно нов производ, приказани подаци показују да гарантна активност у овом сегменту расте из године у годину. С обзиром да се тек очекује успостављање сарадње и са другим финансијским посредницима, реално је очекивати да ће овај сегмент издавања гаранција постати доминантан</w:t>
      </w:r>
      <w:r w:rsidR="00575C8E" w:rsidRPr="00575C8E">
        <w:rPr>
          <w:rFonts w:asciiTheme="minorHAnsi" w:eastAsia="Calibri" w:hAnsiTheme="minorHAnsi"/>
          <w:color w:val="auto"/>
          <w:sz w:val="20"/>
          <w:szCs w:val="20"/>
          <w:lang w:val="sr-Cyrl-BA" w:eastAsia="en-US"/>
        </w:rPr>
        <w:t xml:space="preserve"> и доносити све веће приходе.  Укупни приходи у 2024. год</w:t>
      </w:r>
      <w:r w:rsidR="00575C8E">
        <w:rPr>
          <w:rFonts w:asciiTheme="minorHAnsi" w:eastAsia="Calibri" w:hAnsiTheme="minorHAnsi"/>
          <w:color w:val="auto"/>
          <w:sz w:val="20"/>
          <w:szCs w:val="20"/>
          <w:lang w:val="sr-Cyrl-BA" w:eastAsia="en-US"/>
        </w:rPr>
        <w:t>и</w:t>
      </w:r>
      <w:r w:rsidR="00575C8E" w:rsidRPr="00575C8E">
        <w:rPr>
          <w:rFonts w:asciiTheme="minorHAnsi" w:eastAsia="Calibri" w:hAnsiTheme="minorHAnsi"/>
          <w:color w:val="auto"/>
          <w:sz w:val="20"/>
          <w:szCs w:val="20"/>
          <w:lang w:val="sr-Cyrl-BA" w:eastAsia="en-US"/>
        </w:rPr>
        <w:t>ни износе 1.670.371,79 КМ и мањи су за 32,10% у односу на планирани износ</w:t>
      </w:r>
      <w:r w:rsidR="00575C8E">
        <w:rPr>
          <w:rFonts w:asciiTheme="minorHAnsi" w:eastAsia="Calibri" w:hAnsiTheme="minorHAnsi"/>
          <w:color w:val="auto"/>
          <w:sz w:val="20"/>
          <w:szCs w:val="20"/>
          <w:lang w:val="sr-Cyrl-BA" w:eastAsia="en-US"/>
        </w:rPr>
        <w:t xml:space="preserve"> због смањених прихода из редов</w:t>
      </w:r>
      <w:r w:rsidR="00320A3D">
        <w:rPr>
          <w:rFonts w:asciiTheme="minorHAnsi" w:eastAsia="Calibri" w:hAnsiTheme="minorHAnsi"/>
          <w:color w:val="auto"/>
          <w:sz w:val="20"/>
          <w:szCs w:val="20"/>
          <w:lang w:val="sr-Cyrl-BA" w:eastAsia="en-US"/>
        </w:rPr>
        <w:t>не активности</w:t>
      </w:r>
      <w:r w:rsidR="00575C8E" w:rsidRPr="00575C8E">
        <w:rPr>
          <w:rFonts w:asciiTheme="minorHAnsi" w:eastAsia="Calibri" w:hAnsiTheme="minorHAnsi"/>
          <w:color w:val="auto"/>
          <w:sz w:val="20"/>
          <w:szCs w:val="20"/>
          <w:lang w:val="sr-Cyrl-BA" w:eastAsia="en-US"/>
        </w:rPr>
        <w:t xml:space="preserve">. Ако посматрамо 2023. годину, дошло је до раста </w:t>
      </w:r>
      <w:r w:rsidR="008F42D1">
        <w:rPr>
          <w:rFonts w:asciiTheme="minorHAnsi" w:eastAsia="Calibri" w:hAnsiTheme="minorHAnsi"/>
          <w:color w:val="auto"/>
          <w:sz w:val="20"/>
          <w:szCs w:val="20"/>
          <w:lang w:val="sr-Cyrl-BA" w:eastAsia="en-US"/>
        </w:rPr>
        <w:t xml:space="preserve">укупних </w:t>
      </w:r>
      <w:r w:rsidR="00575C8E" w:rsidRPr="00575C8E">
        <w:rPr>
          <w:rFonts w:asciiTheme="minorHAnsi" w:eastAsia="Calibri" w:hAnsiTheme="minorHAnsi"/>
          <w:color w:val="auto"/>
          <w:sz w:val="20"/>
          <w:szCs w:val="20"/>
          <w:lang w:val="sr-Cyrl-BA" w:eastAsia="en-US"/>
        </w:rPr>
        <w:t>прихода, што показује да је дио клијената побољшао финансијску позицију, па је самим тим остварен већи приход од укидања резервисања.</w:t>
      </w:r>
    </w:p>
    <w:p w:rsidR="00F10264" w:rsidRPr="003D0D57" w:rsidRDefault="00F10264" w:rsidP="001538EF">
      <w:pPr>
        <w:rPr>
          <w:rFonts w:asciiTheme="minorHAnsi" w:eastAsia="Calibri" w:hAnsiTheme="minorHAnsi"/>
          <w:b/>
          <w:color w:val="auto"/>
          <w:sz w:val="20"/>
          <w:szCs w:val="20"/>
          <w:lang w:val="sr-Cyrl-BA" w:eastAsia="en-US"/>
        </w:rPr>
      </w:pPr>
    </w:p>
    <w:p w:rsidR="008F42D1" w:rsidRDefault="00ED1AED" w:rsidP="001538EF">
      <w:pPr>
        <w:rPr>
          <w:rFonts w:asciiTheme="minorHAnsi" w:hAnsiTheme="minorHAnsi"/>
          <w:color w:val="auto"/>
          <w:sz w:val="20"/>
          <w:szCs w:val="20"/>
          <w:lang w:val="sr-Cyrl-CS" w:eastAsia="sr-Cyrl-CS"/>
        </w:rPr>
      </w:pPr>
      <w:r w:rsidRPr="00320A3D">
        <w:rPr>
          <w:rFonts w:asciiTheme="minorHAnsi" w:eastAsia="Calibri" w:hAnsiTheme="minorHAnsi"/>
          <w:color w:val="auto"/>
          <w:sz w:val="20"/>
          <w:szCs w:val="20"/>
          <w:lang w:val="sr-Cyrl-BA" w:eastAsia="en-US"/>
        </w:rPr>
        <w:t xml:space="preserve">Иако је </w:t>
      </w:r>
      <w:r w:rsidR="00E46707" w:rsidRPr="00320A3D">
        <w:rPr>
          <w:rFonts w:asciiTheme="minorHAnsi" w:eastAsia="Calibri" w:hAnsiTheme="minorHAnsi"/>
          <w:color w:val="auto"/>
          <w:sz w:val="20"/>
          <w:szCs w:val="20"/>
          <w:lang w:val="sr-Cyrl-BA" w:eastAsia="en-US"/>
        </w:rPr>
        <w:t>Фонд</w:t>
      </w:r>
      <w:r w:rsidRPr="00320A3D">
        <w:rPr>
          <w:rFonts w:asciiTheme="minorHAnsi" w:eastAsia="Calibri" w:hAnsiTheme="minorHAnsi"/>
          <w:color w:val="auto"/>
          <w:sz w:val="20"/>
          <w:szCs w:val="20"/>
          <w:lang w:val="sr-Cyrl-BA" w:eastAsia="en-US"/>
        </w:rPr>
        <w:t xml:space="preserve"> </w:t>
      </w:r>
      <w:r w:rsidR="008F42D1">
        <w:rPr>
          <w:rFonts w:asciiTheme="minorHAnsi" w:eastAsia="Calibri" w:hAnsiTheme="minorHAnsi"/>
          <w:color w:val="auto"/>
          <w:sz w:val="20"/>
          <w:szCs w:val="20"/>
          <w:lang w:val="sr-Cyrl-BA" w:eastAsia="en-US"/>
        </w:rPr>
        <w:t>у 2024. години имао мање</w:t>
      </w:r>
      <w:r w:rsidRPr="00320A3D">
        <w:rPr>
          <w:rFonts w:asciiTheme="minorHAnsi" w:eastAsia="Calibri" w:hAnsiTheme="minorHAnsi"/>
          <w:color w:val="auto"/>
          <w:sz w:val="20"/>
          <w:szCs w:val="20"/>
          <w:lang w:val="sr-Cyrl-BA" w:eastAsia="en-US"/>
        </w:rPr>
        <w:t xml:space="preserve"> трошкове пословања </w:t>
      </w:r>
      <w:r w:rsidR="008F42D1">
        <w:rPr>
          <w:rFonts w:asciiTheme="minorHAnsi" w:eastAsia="Calibri" w:hAnsiTheme="minorHAnsi"/>
          <w:color w:val="auto"/>
          <w:sz w:val="20"/>
          <w:szCs w:val="20"/>
          <w:lang w:val="sr-Cyrl-BA" w:eastAsia="en-US"/>
        </w:rPr>
        <w:t xml:space="preserve">и </w:t>
      </w:r>
      <w:r w:rsidR="00E46707" w:rsidRPr="00320A3D">
        <w:rPr>
          <w:rFonts w:asciiTheme="minorHAnsi" w:eastAsia="Calibri" w:hAnsiTheme="minorHAnsi"/>
          <w:color w:val="auto"/>
          <w:sz w:val="20"/>
          <w:szCs w:val="20"/>
          <w:lang w:val="sr-Cyrl-BA" w:eastAsia="en-US"/>
        </w:rPr>
        <w:t>у односу на план</w:t>
      </w:r>
      <w:r w:rsidR="00320A3D" w:rsidRPr="00320A3D">
        <w:rPr>
          <w:rFonts w:asciiTheme="minorHAnsi" w:eastAsia="Calibri" w:hAnsiTheme="minorHAnsi"/>
          <w:color w:val="auto"/>
          <w:sz w:val="20"/>
          <w:szCs w:val="20"/>
          <w:lang w:val="sr-Cyrl-BA" w:eastAsia="en-US"/>
        </w:rPr>
        <w:t xml:space="preserve"> и у односу на 2023. годину</w:t>
      </w:r>
      <w:r w:rsidRPr="00320A3D">
        <w:rPr>
          <w:rFonts w:asciiTheme="minorHAnsi" w:eastAsia="Calibri" w:hAnsiTheme="minorHAnsi"/>
          <w:color w:val="auto"/>
          <w:sz w:val="20"/>
          <w:szCs w:val="20"/>
          <w:lang w:val="sr-Cyrl-BA" w:eastAsia="en-US"/>
        </w:rPr>
        <w:t xml:space="preserve">, вишеструко повећање </w:t>
      </w:r>
      <w:r w:rsidR="00224AC6">
        <w:rPr>
          <w:rFonts w:asciiTheme="minorHAnsi" w:eastAsia="Calibri" w:hAnsiTheme="minorHAnsi"/>
          <w:color w:val="auto"/>
          <w:sz w:val="20"/>
          <w:szCs w:val="20"/>
          <w:lang w:val="sr-Cyrl-BA" w:eastAsia="en-US"/>
        </w:rPr>
        <w:t xml:space="preserve">одређених ставки </w:t>
      </w:r>
      <w:r w:rsidRPr="00320A3D">
        <w:rPr>
          <w:rFonts w:asciiTheme="minorHAnsi" w:eastAsia="Calibri" w:hAnsiTheme="minorHAnsi"/>
          <w:color w:val="auto"/>
          <w:sz w:val="20"/>
          <w:szCs w:val="20"/>
          <w:lang w:val="sr-Cyrl-BA" w:eastAsia="en-US"/>
        </w:rPr>
        <w:t xml:space="preserve">расхода је довело </w:t>
      </w:r>
      <w:r w:rsidR="00536E78" w:rsidRPr="00320A3D">
        <w:rPr>
          <w:rFonts w:asciiTheme="minorHAnsi" w:eastAsia="Calibri" w:hAnsiTheme="minorHAnsi"/>
          <w:color w:val="auto"/>
          <w:sz w:val="20"/>
          <w:szCs w:val="20"/>
          <w:lang w:val="sr-Cyrl-BA" w:eastAsia="en-US"/>
        </w:rPr>
        <w:t xml:space="preserve">до </w:t>
      </w:r>
      <w:r w:rsidRPr="00320A3D">
        <w:rPr>
          <w:rFonts w:asciiTheme="minorHAnsi" w:eastAsia="Calibri" w:hAnsiTheme="minorHAnsi"/>
          <w:color w:val="auto"/>
          <w:sz w:val="20"/>
          <w:szCs w:val="20"/>
          <w:lang w:val="sr-Cyrl-BA" w:eastAsia="en-US"/>
        </w:rPr>
        <w:t xml:space="preserve">значајног раста укупних расхода, чиме су премашени укупни </w:t>
      </w:r>
      <w:r w:rsidR="00E46707" w:rsidRPr="00320A3D">
        <w:rPr>
          <w:rFonts w:asciiTheme="minorHAnsi" w:eastAsia="Calibri" w:hAnsiTheme="minorHAnsi"/>
          <w:color w:val="auto"/>
          <w:sz w:val="20"/>
          <w:szCs w:val="20"/>
          <w:lang w:val="sr-Cyrl-BA" w:eastAsia="en-US"/>
        </w:rPr>
        <w:t xml:space="preserve">приходи и </w:t>
      </w:r>
      <w:r w:rsidR="00E46707" w:rsidRPr="008F42D1">
        <w:rPr>
          <w:rFonts w:asciiTheme="minorHAnsi" w:eastAsia="Calibri" w:hAnsiTheme="minorHAnsi"/>
          <w:color w:val="auto"/>
          <w:sz w:val="20"/>
          <w:szCs w:val="20"/>
          <w:lang w:val="sr-Cyrl-BA" w:eastAsia="en-US"/>
        </w:rPr>
        <w:t>остварен негативан финансијски резултат.</w:t>
      </w:r>
      <w:r w:rsidR="00F10264" w:rsidRPr="008F42D1">
        <w:rPr>
          <w:rFonts w:asciiTheme="minorHAnsi" w:eastAsia="Calibri" w:hAnsiTheme="minorHAnsi"/>
          <w:color w:val="auto"/>
          <w:sz w:val="20"/>
          <w:szCs w:val="20"/>
          <w:lang w:val="sr-Cyrl-BA" w:eastAsia="en-US"/>
        </w:rPr>
        <w:t xml:space="preserve"> </w:t>
      </w:r>
      <w:r w:rsidR="00320A3D" w:rsidRPr="008F42D1">
        <w:rPr>
          <w:rFonts w:asciiTheme="minorHAnsi" w:eastAsia="Calibri" w:hAnsiTheme="minorHAnsi"/>
          <w:color w:val="auto"/>
          <w:sz w:val="20"/>
          <w:szCs w:val="20"/>
          <w:lang w:val="sr-Cyrl-BA" w:eastAsia="en-US"/>
        </w:rPr>
        <w:t xml:space="preserve">Расту расхода су највише допринијели </w:t>
      </w:r>
      <w:r w:rsidR="00320A3D" w:rsidRPr="008F42D1">
        <w:rPr>
          <w:rFonts w:asciiTheme="minorHAnsi" w:hAnsiTheme="minorHAnsi"/>
          <w:color w:val="auto"/>
          <w:sz w:val="20"/>
          <w:szCs w:val="20"/>
          <w:lang w:val="sr-Cyrl-CS" w:eastAsia="sr-Cyrl-CS"/>
        </w:rPr>
        <w:t xml:space="preserve">губици по основу продаје средстава намијењених продаји, те губици по основу </w:t>
      </w:r>
      <w:r w:rsidR="008F42D1" w:rsidRPr="008F42D1">
        <w:rPr>
          <w:rFonts w:asciiTheme="minorHAnsi" w:hAnsiTheme="minorHAnsi"/>
          <w:color w:val="auto"/>
          <w:sz w:val="20"/>
          <w:szCs w:val="20"/>
          <w:lang w:val="sr-Cyrl-RS" w:eastAsia="sr-Cyrl-CS"/>
        </w:rPr>
        <w:t>престанка признавања хартија од вриједности</w:t>
      </w:r>
      <w:r w:rsidR="003F77E8">
        <w:rPr>
          <w:rFonts w:asciiTheme="minorHAnsi" w:hAnsiTheme="minorHAnsi"/>
          <w:color w:val="auto"/>
          <w:sz w:val="20"/>
          <w:szCs w:val="20"/>
          <w:lang w:val="sr-Cyrl-RS" w:eastAsia="sr-Cyrl-CS"/>
        </w:rPr>
        <w:t xml:space="preserve"> које су купљене по већој вриједности од номиналне</w:t>
      </w:r>
      <w:r w:rsidR="00320A3D" w:rsidRPr="008F42D1">
        <w:rPr>
          <w:rFonts w:asciiTheme="minorHAnsi" w:hAnsiTheme="minorHAnsi"/>
          <w:color w:val="auto"/>
          <w:sz w:val="20"/>
          <w:szCs w:val="20"/>
          <w:lang w:val="sr-Cyrl-CS" w:eastAsia="sr-Cyrl-CS"/>
        </w:rPr>
        <w:t xml:space="preserve">. Поред </w:t>
      </w:r>
      <w:r w:rsidR="00320A3D" w:rsidRPr="00320A3D">
        <w:rPr>
          <w:rFonts w:asciiTheme="minorHAnsi" w:hAnsiTheme="minorHAnsi"/>
          <w:color w:val="auto"/>
          <w:sz w:val="20"/>
          <w:szCs w:val="20"/>
          <w:lang w:val="sr-Cyrl-CS" w:eastAsia="sr-Cyrl-CS"/>
        </w:rPr>
        <w:t xml:space="preserve">тога, </w:t>
      </w:r>
      <w:r w:rsidR="008F42D1">
        <w:rPr>
          <w:rFonts w:asciiTheme="minorHAnsi" w:hAnsiTheme="minorHAnsi"/>
          <w:color w:val="auto"/>
          <w:sz w:val="20"/>
          <w:szCs w:val="20"/>
          <w:lang w:val="sr-Cyrl-CS" w:eastAsia="sr-Cyrl-CS"/>
        </w:rPr>
        <w:t>процјеном овлаштеног процјенитељ</w:t>
      </w:r>
      <w:r w:rsidR="00320A3D" w:rsidRPr="00320A3D">
        <w:rPr>
          <w:rFonts w:asciiTheme="minorHAnsi" w:hAnsiTheme="minorHAnsi"/>
          <w:color w:val="auto"/>
          <w:sz w:val="20"/>
          <w:szCs w:val="20"/>
          <w:lang w:val="sr-Cyrl-CS" w:eastAsia="sr-Cyrl-CS"/>
        </w:rPr>
        <w:t>а је утврђено да је вриједност потраживања од Бобар банке-у ликвидацији мања за 178.723,98 КМ, па је отпис потраживања у значајној мјери оптеретио расходе</w:t>
      </w:r>
      <w:r w:rsidR="00224AC6">
        <w:rPr>
          <w:rFonts w:asciiTheme="minorHAnsi" w:hAnsiTheme="minorHAnsi"/>
          <w:color w:val="auto"/>
          <w:sz w:val="20"/>
          <w:szCs w:val="20"/>
          <w:lang w:val="sr-Cyrl-CS" w:eastAsia="sr-Cyrl-CS"/>
        </w:rPr>
        <w:t xml:space="preserve"> посматраног</w:t>
      </w:r>
      <w:r w:rsidR="00320A3D" w:rsidRPr="00320A3D">
        <w:rPr>
          <w:rFonts w:asciiTheme="minorHAnsi" w:hAnsiTheme="minorHAnsi"/>
          <w:color w:val="auto"/>
          <w:sz w:val="20"/>
          <w:szCs w:val="20"/>
          <w:lang w:val="sr-Cyrl-CS" w:eastAsia="sr-Cyrl-CS"/>
        </w:rPr>
        <w:t xml:space="preserve"> периода. </w:t>
      </w:r>
    </w:p>
    <w:p w:rsidR="008F42D1" w:rsidRDefault="008F42D1" w:rsidP="001538EF">
      <w:pPr>
        <w:rPr>
          <w:rFonts w:asciiTheme="minorHAnsi" w:hAnsiTheme="minorHAnsi"/>
          <w:color w:val="auto"/>
          <w:sz w:val="20"/>
          <w:szCs w:val="20"/>
          <w:lang w:val="sr-Cyrl-CS" w:eastAsia="sr-Cyrl-CS"/>
        </w:rPr>
      </w:pPr>
    </w:p>
    <w:p w:rsidR="00E46707" w:rsidRPr="00224AC6" w:rsidRDefault="008F42D1" w:rsidP="001538EF">
      <w:pPr>
        <w:rPr>
          <w:rFonts w:asciiTheme="minorHAnsi" w:eastAsia="Calibri" w:hAnsiTheme="minorHAnsi"/>
          <w:color w:val="auto"/>
          <w:sz w:val="20"/>
          <w:szCs w:val="20"/>
          <w:lang w:eastAsia="en-US"/>
        </w:rPr>
      </w:pPr>
      <w:r>
        <w:rPr>
          <w:rFonts w:asciiTheme="minorHAnsi" w:hAnsiTheme="minorHAnsi"/>
          <w:color w:val="auto"/>
          <w:sz w:val="20"/>
          <w:szCs w:val="20"/>
          <w:lang w:val="sr-Cyrl-CS" w:eastAsia="sr-Cyrl-CS"/>
        </w:rPr>
        <w:t>Р</w:t>
      </w:r>
      <w:r w:rsidR="00224AC6">
        <w:rPr>
          <w:rFonts w:asciiTheme="minorHAnsi" w:hAnsiTheme="minorHAnsi"/>
          <w:color w:val="auto"/>
          <w:sz w:val="20"/>
          <w:szCs w:val="20"/>
          <w:lang w:val="sr-Cyrl-CS" w:eastAsia="sr-Cyrl-CS"/>
        </w:rPr>
        <w:t xml:space="preserve">асходи резервисања су </w:t>
      </w:r>
      <w:r>
        <w:rPr>
          <w:rFonts w:asciiTheme="minorHAnsi" w:hAnsiTheme="minorHAnsi"/>
          <w:color w:val="auto"/>
          <w:sz w:val="20"/>
          <w:szCs w:val="20"/>
          <w:lang w:val="sr-Cyrl-CS" w:eastAsia="sr-Cyrl-CS"/>
        </w:rPr>
        <w:t xml:space="preserve">такође </w:t>
      </w:r>
      <w:r w:rsidR="00224AC6">
        <w:rPr>
          <w:rFonts w:asciiTheme="minorHAnsi" w:hAnsiTheme="minorHAnsi"/>
          <w:color w:val="auto"/>
          <w:sz w:val="20"/>
          <w:szCs w:val="20"/>
          <w:lang w:val="sr-Cyrl-CS" w:eastAsia="sr-Cyrl-CS"/>
        </w:rPr>
        <w:t xml:space="preserve">остварени у знатно већем износу од планираног, што је узроковано </w:t>
      </w:r>
      <w:r w:rsidR="00F10264" w:rsidRPr="00320A3D">
        <w:rPr>
          <w:rFonts w:asciiTheme="minorHAnsi" w:eastAsia="Calibri" w:hAnsiTheme="minorHAnsi"/>
          <w:color w:val="auto"/>
          <w:sz w:val="20"/>
          <w:szCs w:val="20"/>
          <w:lang w:val="sr-Cyrl-BA" w:eastAsia="en-US"/>
        </w:rPr>
        <w:t>погоршањем финансијског положаја</w:t>
      </w:r>
      <w:r w:rsidR="00224AC6">
        <w:rPr>
          <w:rFonts w:asciiTheme="minorHAnsi" w:eastAsia="Calibri" w:hAnsiTheme="minorHAnsi"/>
          <w:color w:val="auto"/>
          <w:sz w:val="20"/>
          <w:szCs w:val="20"/>
          <w:lang w:val="sr-Cyrl-BA" w:eastAsia="en-US"/>
        </w:rPr>
        <w:t xml:space="preserve"> одређеног броја клијената Фонда и повећало ризик неизмирења обавеза.</w:t>
      </w:r>
      <w:r w:rsidR="00F10264" w:rsidRPr="00320A3D">
        <w:rPr>
          <w:rFonts w:asciiTheme="minorHAnsi" w:eastAsia="Calibri" w:hAnsiTheme="minorHAnsi"/>
          <w:color w:val="auto"/>
          <w:sz w:val="20"/>
          <w:szCs w:val="20"/>
          <w:lang w:val="sr-Cyrl-BA" w:eastAsia="en-US"/>
        </w:rPr>
        <w:t xml:space="preserve"> </w:t>
      </w:r>
      <w:r w:rsidR="00320A3D">
        <w:rPr>
          <w:rFonts w:asciiTheme="minorHAnsi" w:eastAsia="Calibri" w:hAnsiTheme="minorHAnsi"/>
          <w:color w:val="auto"/>
          <w:sz w:val="20"/>
          <w:szCs w:val="20"/>
          <w:lang w:val="sr-Cyrl-BA" w:eastAsia="en-US"/>
        </w:rPr>
        <w:t xml:space="preserve">Битно је напоменути да </w:t>
      </w:r>
      <w:r w:rsidR="00224AC6">
        <w:rPr>
          <w:rFonts w:asciiTheme="minorHAnsi" w:eastAsia="Calibri" w:hAnsiTheme="minorHAnsi"/>
          <w:color w:val="auto"/>
          <w:sz w:val="20"/>
          <w:szCs w:val="20"/>
          <w:lang w:val="sr-Cyrl-BA" w:eastAsia="en-US"/>
        </w:rPr>
        <w:t>су расходи резервисања обрачунска категорија и да се обрачун врши у складу са Међународним стандардом финансијског извјештавања 9. Овај стандард предвиђа обрач</w:t>
      </w:r>
      <w:r w:rsidR="00224AC6">
        <w:rPr>
          <w:rFonts w:asciiTheme="minorHAnsi" w:eastAsia="Calibri" w:hAnsiTheme="minorHAnsi"/>
          <w:color w:val="auto"/>
          <w:sz w:val="20"/>
          <w:szCs w:val="20"/>
          <w:lang w:val="sr-Cyrl-RS" w:eastAsia="en-US"/>
        </w:rPr>
        <w:t>ун очекиваног кредитног губитка за све изложености, укључујући и оне</w:t>
      </w:r>
      <w:r w:rsidR="00224AC6">
        <w:rPr>
          <w:rFonts w:asciiTheme="minorHAnsi" w:eastAsia="Calibri" w:hAnsiTheme="minorHAnsi"/>
          <w:color w:val="auto"/>
          <w:sz w:val="20"/>
          <w:szCs w:val="20"/>
          <w:lang w:val="sr-Cyrl-BA" w:eastAsia="en-US"/>
        </w:rPr>
        <w:t xml:space="preserve"> клијенте који су у потпуности уредни у отплати кредита или имају мањ</w:t>
      </w:r>
      <w:r>
        <w:rPr>
          <w:rFonts w:asciiTheme="minorHAnsi" w:eastAsia="Calibri" w:hAnsiTheme="minorHAnsi"/>
          <w:color w:val="auto"/>
          <w:sz w:val="20"/>
          <w:szCs w:val="20"/>
          <w:lang w:val="sr-Cyrl-BA" w:eastAsia="en-US"/>
        </w:rPr>
        <w:t>е кашњење. У 2024. години, у ск</w:t>
      </w:r>
      <w:r w:rsidR="00224AC6">
        <w:rPr>
          <w:rFonts w:asciiTheme="minorHAnsi" w:eastAsia="Calibri" w:hAnsiTheme="minorHAnsi"/>
          <w:color w:val="auto"/>
          <w:sz w:val="20"/>
          <w:szCs w:val="20"/>
          <w:lang w:val="sr-Cyrl-BA" w:eastAsia="en-US"/>
        </w:rPr>
        <w:t>л</w:t>
      </w:r>
      <w:r>
        <w:rPr>
          <w:rFonts w:asciiTheme="minorHAnsi" w:eastAsia="Calibri" w:hAnsiTheme="minorHAnsi"/>
          <w:color w:val="auto"/>
          <w:sz w:val="20"/>
          <w:szCs w:val="20"/>
          <w:lang w:val="sr-Cyrl-BA" w:eastAsia="en-US"/>
        </w:rPr>
        <w:t>а</w:t>
      </w:r>
      <w:r w:rsidR="00224AC6">
        <w:rPr>
          <w:rFonts w:asciiTheme="minorHAnsi" w:eastAsia="Calibri" w:hAnsiTheme="minorHAnsi"/>
          <w:color w:val="auto"/>
          <w:sz w:val="20"/>
          <w:szCs w:val="20"/>
          <w:lang w:val="sr-Cyrl-BA" w:eastAsia="en-US"/>
        </w:rPr>
        <w:t>ду са МСФИ 9, обрачунато је в</w:t>
      </w:r>
      <w:r w:rsidR="00C277CE">
        <w:rPr>
          <w:rFonts w:asciiTheme="minorHAnsi" w:eastAsia="Calibri" w:hAnsiTheme="minorHAnsi"/>
          <w:color w:val="auto"/>
          <w:sz w:val="20"/>
          <w:szCs w:val="20"/>
          <w:lang w:val="sr-Cyrl-BA" w:eastAsia="en-US"/>
        </w:rPr>
        <w:t xml:space="preserve">ише од 100.000,00 КМ расхода </w:t>
      </w:r>
      <w:r w:rsidR="00224AC6">
        <w:rPr>
          <w:rFonts w:asciiTheme="minorHAnsi" w:eastAsia="Calibri" w:hAnsiTheme="minorHAnsi"/>
          <w:color w:val="auto"/>
          <w:sz w:val="20"/>
          <w:szCs w:val="20"/>
          <w:lang w:val="sr-Cyrl-BA" w:eastAsia="en-US"/>
        </w:rPr>
        <w:t>резервисања за клиј</w:t>
      </w:r>
      <w:r w:rsidR="003F77E8">
        <w:rPr>
          <w:rFonts w:asciiTheme="minorHAnsi" w:eastAsia="Calibri" w:hAnsiTheme="minorHAnsi"/>
          <w:color w:val="auto"/>
          <w:sz w:val="20"/>
          <w:szCs w:val="20"/>
          <w:lang w:val="sr-Cyrl-BA" w:eastAsia="en-US"/>
        </w:rPr>
        <w:t>енте који се налазе у категоријама</w:t>
      </w:r>
      <w:r w:rsidR="00224AC6">
        <w:rPr>
          <w:rFonts w:asciiTheme="minorHAnsi" w:eastAsia="Calibri" w:hAnsiTheme="minorHAnsi"/>
          <w:color w:val="auto"/>
          <w:sz w:val="20"/>
          <w:szCs w:val="20"/>
          <w:lang w:eastAsia="en-US"/>
        </w:rPr>
        <w:t xml:space="preserve"> S1 i S2.</w:t>
      </w:r>
      <w:r w:rsidR="00224AC6">
        <w:rPr>
          <w:rFonts w:asciiTheme="minorHAnsi" w:eastAsia="Calibri" w:hAnsiTheme="minorHAnsi"/>
          <w:color w:val="auto"/>
          <w:sz w:val="20"/>
          <w:szCs w:val="20"/>
          <w:lang w:val="sr-Cyrl-BA" w:eastAsia="en-US"/>
        </w:rPr>
        <w:t xml:space="preserve"> </w:t>
      </w:r>
    </w:p>
    <w:p w:rsidR="004734C2" w:rsidRPr="009F70C0" w:rsidRDefault="004734C2" w:rsidP="009F70C0">
      <w:pPr>
        <w:rPr>
          <w:rFonts w:asciiTheme="minorHAnsi" w:hAnsiTheme="minorHAnsi"/>
          <w:sz w:val="20"/>
          <w:szCs w:val="20"/>
          <w:lang w:val="sr-Cyrl-RS"/>
        </w:rPr>
      </w:pPr>
    </w:p>
    <w:p w:rsidR="001538EF" w:rsidRPr="008B5A35" w:rsidRDefault="00E84021" w:rsidP="00E84021">
      <w:pPr>
        <w:pStyle w:val="Heading2"/>
        <w:numPr>
          <w:ilvl w:val="0"/>
          <w:numId w:val="0"/>
        </w:numPr>
        <w:rPr>
          <w:rFonts w:asciiTheme="minorHAnsi" w:hAnsiTheme="minorHAnsi"/>
          <w:color w:val="000000" w:themeColor="text1"/>
          <w:szCs w:val="20"/>
          <w:lang w:val="sr-Cyrl-BA"/>
        </w:rPr>
      </w:pPr>
      <w:r w:rsidRPr="008B5A35">
        <w:rPr>
          <w:rFonts w:asciiTheme="minorHAnsi" w:hAnsiTheme="minorHAnsi"/>
          <w:color w:val="000000" w:themeColor="text1"/>
          <w:szCs w:val="20"/>
          <w:lang w:val="sr-Cyrl-RS"/>
        </w:rPr>
        <w:t xml:space="preserve">3.4 </w:t>
      </w:r>
      <w:r w:rsidR="001538EF" w:rsidRPr="008B5A35">
        <w:rPr>
          <w:rFonts w:asciiTheme="minorHAnsi" w:hAnsiTheme="minorHAnsi"/>
          <w:color w:val="000000" w:themeColor="text1"/>
          <w:szCs w:val="20"/>
        </w:rPr>
        <w:t xml:space="preserve"> </w:t>
      </w:r>
      <w:bookmarkStart w:id="15" w:name="_Toc135292178"/>
      <w:r w:rsidR="001538EF" w:rsidRPr="008B5A35">
        <w:rPr>
          <w:rFonts w:asciiTheme="minorHAnsi" w:hAnsiTheme="minorHAnsi"/>
          <w:color w:val="000000" w:themeColor="text1"/>
          <w:szCs w:val="20"/>
          <w:lang w:val="sr-Cyrl-BA"/>
        </w:rPr>
        <w:t>АНАЛИЗА БИЛАНСА СТАЊА НА ДАН 31.12.202</w:t>
      </w:r>
      <w:r w:rsidR="00411A65" w:rsidRPr="008B5A35">
        <w:rPr>
          <w:rFonts w:asciiTheme="minorHAnsi" w:hAnsiTheme="minorHAnsi"/>
          <w:color w:val="000000" w:themeColor="text1"/>
          <w:szCs w:val="20"/>
          <w:lang w:val="sr-Cyrl-BA"/>
        </w:rPr>
        <w:t>4</w:t>
      </w:r>
      <w:r w:rsidR="001538EF" w:rsidRPr="008B5A35">
        <w:rPr>
          <w:rFonts w:asciiTheme="minorHAnsi" w:hAnsiTheme="minorHAnsi"/>
          <w:color w:val="000000" w:themeColor="text1"/>
          <w:szCs w:val="20"/>
          <w:lang w:val="sr-Cyrl-BA"/>
        </w:rPr>
        <w:t>. ГОДИНЕ</w:t>
      </w:r>
      <w:bookmarkEnd w:id="15"/>
      <w:r w:rsidR="001538EF" w:rsidRPr="008B5A35">
        <w:rPr>
          <w:rFonts w:asciiTheme="minorHAnsi" w:hAnsiTheme="minorHAnsi"/>
          <w:color w:val="000000" w:themeColor="text1"/>
          <w:szCs w:val="20"/>
        </w:rPr>
        <w:t xml:space="preserve">                </w:t>
      </w:r>
    </w:p>
    <w:p w:rsidR="001538EF" w:rsidRDefault="001538EF" w:rsidP="00B56D60">
      <w:pPr>
        <w:ind w:right="-142"/>
        <w:rPr>
          <w:rFonts w:asciiTheme="minorHAnsi" w:hAnsiTheme="minorHAnsi"/>
          <w:b/>
          <w:sz w:val="20"/>
          <w:szCs w:val="20"/>
          <w:lang w:eastAsia="sr-Cyrl-CS"/>
        </w:rPr>
      </w:pPr>
    </w:p>
    <w:p w:rsidR="00B56D60" w:rsidRPr="005E197E" w:rsidRDefault="00B56D60" w:rsidP="00B56D60">
      <w:pPr>
        <w:ind w:right="-142"/>
        <w:rPr>
          <w:rFonts w:asciiTheme="minorHAnsi" w:hAnsiTheme="minorHAnsi"/>
          <w:sz w:val="20"/>
          <w:szCs w:val="20"/>
          <w:lang w:val="sr-Cyrl-RS" w:eastAsia="sr-Cyrl-CS"/>
        </w:rPr>
      </w:pPr>
      <w:r w:rsidRPr="00B56D60">
        <w:rPr>
          <w:rFonts w:asciiTheme="minorHAnsi" w:hAnsiTheme="minorHAnsi"/>
          <w:sz w:val="20"/>
          <w:szCs w:val="20"/>
          <w:lang w:eastAsia="sr-Cyrl-CS"/>
        </w:rPr>
        <w:t>Пословна актива Гарантног фонда на дан 31.12.202</w:t>
      </w:r>
      <w:r>
        <w:rPr>
          <w:rFonts w:asciiTheme="minorHAnsi" w:hAnsiTheme="minorHAnsi"/>
          <w:sz w:val="20"/>
          <w:szCs w:val="20"/>
          <w:lang w:eastAsia="sr-Cyrl-CS"/>
        </w:rPr>
        <w:t>4</w:t>
      </w:r>
      <w:r w:rsidRPr="00B56D60">
        <w:rPr>
          <w:rFonts w:asciiTheme="minorHAnsi" w:hAnsiTheme="minorHAnsi"/>
          <w:sz w:val="20"/>
          <w:szCs w:val="20"/>
          <w:lang w:eastAsia="sr-Cyrl-CS"/>
        </w:rPr>
        <w:t xml:space="preserve">. године износи </w:t>
      </w:r>
      <w:r>
        <w:rPr>
          <w:rFonts w:asciiTheme="minorHAnsi" w:hAnsiTheme="minorHAnsi"/>
          <w:sz w:val="20"/>
          <w:szCs w:val="20"/>
          <w:lang w:eastAsia="sr-Cyrl-CS"/>
        </w:rPr>
        <w:t>17.806.859,26 КМ</w:t>
      </w:r>
      <w:r w:rsidR="00E9137A">
        <w:rPr>
          <w:rFonts w:asciiTheme="minorHAnsi" w:hAnsiTheme="minorHAnsi"/>
          <w:sz w:val="20"/>
          <w:szCs w:val="20"/>
          <w:lang w:val="sr-Cyrl-RS" w:eastAsia="sr-Cyrl-CS"/>
        </w:rPr>
        <w:t xml:space="preserve">. Већински дио </w:t>
      </w:r>
      <w:r>
        <w:rPr>
          <w:rFonts w:asciiTheme="minorHAnsi" w:hAnsiTheme="minorHAnsi"/>
          <w:sz w:val="20"/>
          <w:szCs w:val="20"/>
          <w:lang w:val="sr-Cyrl-RS" w:eastAsia="sr-Cyrl-CS"/>
        </w:rPr>
        <w:t xml:space="preserve">се односи на </w:t>
      </w:r>
      <w:r w:rsidRPr="00B56D60">
        <w:rPr>
          <w:rFonts w:asciiTheme="minorHAnsi" w:hAnsiTheme="minorHAnsi"/>
          <w:sz w:val="20"/>
          <w:szCs w:val="20"/>
          <w:lang w:eastAsia="sr-Cyrl-CS"/>
        </w:rPr>
        <w:t>текућа ср</w:t>
      </w:r>
      <w:r>
        <w:rPr>
          <w:rFonts w:asciiTheme="minorHAnsi" w:hAnsiTheme="minorHAnsi"/>
          <w:sz w:val="20"/>
          <w:szCs w:val="20"/>
          <w:lang w:eastAsia="sr-Cyrl-CS"/>
        </w:rPr>
        <w:t>едства у износу од 17.629.364,92</w:t>
      </w:r>
      <w:r w:rsidR="00E9137A">
        <w:rPr>
          <w:rFonts w:asciiTheme="minorHAnsi" w:hAnsiTheme="minorHAnsi"/>
          <w:sz w:val="20"/>
          <w:szCs w:val="20"/>
          <w:lang w:eastAsia="sr-Cyrl-CS"/>
        </w:rPr>
        <w:t xml:space="preserve"> КМ</w:t>
      </w:r>
      <w:r w:rsidR="00E9137A">
        <w:rPr>
          <w:rFonts w:asciiTheme="minorHAnsi" w:hAnsiTheme="minorHAnsi"/>
          <w:sz w:val="20"/>
          <w:szCs w:val="20"/>
          <w:lang w:val="sr-Cyrl-RS" w:eastAsia="sr-Cyrl-CS"/>
        </w:rPr>
        <w:t xml:space="preserve">, док преостали дио чине </w:t>
      </w:r>
      <w:r w:rsidRPr="00B56D60">
        <w:rPr>
          <w:rFonts w:asciiTheme="minorHAnsi" w:hAnsiTheme="minorHAnsi"/>
          <w:sz w:val="20"/>
          <w:szCs w:val="20"/>
          <w:lang w:eastAsia="sr-Cyrl-CS"/>
        </w:rPr>
        <w:t>стална</w:t>
      </w:r>
      <w:r>
        <w:rPr>
          <w:rFonts w:asciiTheme="minorHAnsi" w:hAnsiTheme="minorHAnsi"/>
          <w:sz w:val="20"/>
          <w:szCs w:val="20"/>
          <w:lang w:eastAsia="sr-Cyrl-CS"/>
        </w:rPr>
        <w:t xml:space="preserve"> средства у износу од </w:t>
      </w:r>
      <w:r w:rsidRPr="00B56D60">
        <w:rPr>
          <w:rFonts w:asciiTheme="minorHAnsi" w:hAnsiTheme="minorHAnsi"/>
          <w:sz w:val="20"/>
          <w:szCs w:val="20"/>
          <w:lang w:eastAsia="sr-Cyrl-CS"/>
        </w:rPr>
        <w:t xml:space="preserve"> </w:t>
      </w:r>
      <w:r>
        <w:rPr>
          <w:rFonts w:asciiTheme="minorHAnsi" w:hAnsiTheme="minorHAnsi"/>
          <w:sz w:val="20"/>
          <w:szCs w:val="20"/>
          <w:lang w:eastAsia="sr-Cyrl-CS"/>
        </w:rPr>
        <w:t xml:space="preserve">177.494,34 </w:t>
      </w:r>
      <w:r w:rsidRPr="00B56D60">
        <w:rPr>
          <w:rFonts w:asciiTheme="minorHAnsi" w:hAnsiTheme="minorHAnsi"/>
          <w:sz w:val="20"/>
          <w:szCs w:val="20"/>
          <w:lang w:eastAsia="sr-Cyrl-CS"/>
        </w:rPr>
        <w:t>КМ.</w:t>
      </w:r>
      <w:r w:rsidR="00E9137A">
        <w:rPr>
          <w:rFonts w:asciiTheme="minorHAnsi" w:hAnsiTheme="minorHAnsi"/>
          <w:sz w:val="20"/>
          <w:szCs w:val="20"/>
          <w:lang w:eastAsia="sr-Cyrl-CS"/>
        </w:rPr>
        <w:t xml:space="preserve"> </w:t>
      </w:r>
      <w:r w:rsidR="005E197E">
        <w:rPr>
          <w:rFonts w:asciiTheme="minorHAnsi" w:hAnsiTheme="minorHAnsi"/>
          <w:sz w:val="20"/>
          <w:szCs w:val="20"/>
          <w:lang w:val="sr-Cyrl-RS" w:eastAsia="sr-Cyrl-CS"/>
        </w:rPr>
        <w:t>Структура активе се није значајније мијењала у односу на претходну годину, али је дошло до смањења у апсолутном износу, чему је највише допринијело смањено улагање у хартије од вриједности.</w:t>
      </w:r>
    </w:p>
    <w:p w:rsidR="00E9137A" w:rsidRPr="00E9137A" w:rsidRDefault="00E9137A" w:rsidP="00B56D60">
      <w:pPr>
        <w:ind w:right="-142"/>
        <w:rPr>
          <w:rFonts w:asciiTheme="minorHAnsi" w:hAnsiTheme="minorHAnsi"/>
          <w:sz w:val="20"/>
          <w:szCs w:val="20"/>
          <w:lang w:val="sr-Cyrl-RS" w:eastAsia="sr-Cyrl-CS"/>
        </w:rPr>
      </w:pPr>
    </w:p>
    <w:p w:rsidR="001538EF" w:rsidRPr="005767EF" w:rsidRDefault="001538EF" w:rsidP="007434A3">
      <w:pPr>
        <w:ind w:left="708" w:right="-142"/>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биланс</w:t>
      </w:r>
      <w:r w:rsidRPr="005767EF">
        <w:rPr>
          <w:rFonts w:asciiTheme="minorHAnsi" w:hAnsiTheme="minorHAnsi"/>
          <w:b/>
          <w:sz w:val="20"/>
          <w:szCs w:val="20"/>
          <w:lang w:val="sr-Cyrl-BA" w:eastAsia="sr-Cyrl-CS"/>
        </w:rPr>
        <w:t>н</w:t>
      </w:r>
      <w:r w:rsidRPr="005767EF">
        <w:rPr>
          <w:rFonts w:asciiTheme="minorHAnsi" w:hAnsiTheme="minorHAnsi"/>
          <w:b/>
          <w:sz w:val="20"/>
          <w:szCs w:val="20"/>
          <w:lang w:val="sr-Cyrl-CS" w:eastAsia="sr-Cyrl-CS"/>
        </w:rPr>
        <w:t>их позиција а</w:t>
      </w:r>
      <w:r w:rsidR="00811D04">
        <w:rPr>
          <w:rFonts w:asciiTheme="minorHAnsi" w:hAnsiTheme="minorHAnsi"/>
          <w:b/>
          <w:sz w:val="20"/>
          <w:szCs w:val="20"/>
          <w:lang w:val="sr-Cyrl-CS" w:eastAsia="sr-Cyrl-CS"/>
        </w:rPr>
        <w:t>ктиве и пасиве на дан 31.12.202</w:t>
      </w:r>
      <w:r w:rsidR="00B56D60">
        <w:rPr>
          <w:rFonts w:asciiTheme="minorHAnsi" w:hAnsiTheme="minorHAnsi"/>
          <w:b/>
          <w:sz w:val="20"/>
          <w:szCs w:val="20"/>
          <w:lang w:eastAsia="sr-Cyrl-CS"/>
        </w:rPr>
        <w:t>4</w:t>
      </w:r>
      <w:r w:rsidRPr="005767EF">
        <w:rPr>
          <w:rFonts w:asciiTheme="minorHAnsi" w:hAnsiTheme="minorHAnsi"/>
          <w:b/>
          <w:sz w:val="20"/>
          <w:szCs w:val="20"/>
          <w:lang w:val="sr-Cyrl-CS" w:eastAsia="sr-Cyrl-CS"/>
        </w:rPr>
        <w:t>. године</w:t>
      </w:r>
    </w:p>
    <w:p w:rsidR="001538EF" w:rsidRPr="005767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t xml:space="preserve">                           </w:t>
      </w:r>
      <w:r w:rsidR="00330E93">
        <w:rPr>
          <w:rFonts w:asciiTheme="minorHAnsi" w:hAnsiTheme="minorHAnsi"/>
          <w:b/>
          <w:sz w:val="20"/>
          <w:szCs w:val="20"/>
          <w:lang w:val="sr-Cyrl-CS" w:eastAsia="sr-Cyrl-CS"/>
        </w:rPr>
        <w:t xml:space="preserve">                Табела 2</w:t>
      </w:r>
      <w:r w:rsidR="0034546F">
        <w:rPr>
          <w:rFonts w:asciiTheme="minorHAnsi" w:hAnsiTheme="minorHAnsi"/>
          <w:b/>
          <w:sz w:val="20"/>
          <w:szCs w:val="20"/>
          <w:lang w:val="sr-Cyrl-CS" w:eastAsia="sr-Cyrl-CS"/>
        </w:rPr>
        <w:t>1</w:t>
      </w:r>
    </w:p>
    <w:tbl>
      <w:tblPr>
        <w:tblW w:w="8880" w:type="dxa"/>
        <w:tblInd w:w="93" w:type="dxa"/>
        <w:tblLook w:val="04A0" w:firstRow="1" w:lastRow="0" w:firstColumn="1" w:lastColumn="0" w:noHBand="0" w:noVBand="1"/>
      </w:tblPr>
      <w:tblGrid>
        <w:gridCol w:w="4410"/>
        <w:gridCol w:w="1730"/>
        <w:gridCol w:w="1660"/>
        <w:gridCol w:w="1080"/>
      </w:tblGrid>
      <w:tr w:rsidR="00B56D60" w:rsidRPr="00B56D60" w:rsidTr="00B56D60">
        <w:trPr>
          <w:trHeight w:val="975"/>
        </w:trPr>
        <w:tc>
          <w:tcPr>
            <w:tcW w:w="4410"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B56D60" w:rsidRPr="00B56D60" w:rsidRDefault="00B56D60" w:rsidP="00B56D60">
            <w:pPr>
              <w:jc w:val="center"/>
              <w:rPr>
                <w:rFonts w:ascii="Calibri" w:hAnsi="Calibri"/>
                <w:b/>
                <w:bCs/>
                <w:sz w:val="20"/>
                <w:szCs w:val="20"/>
              </w:rPr>
            </w:pPr>
            <w:r w:rsidRPr="00B56D60">
              <w:rPr>
                <w:rFonts w:ascii="Calibri" w:hAnsi="Calibri"/>
                <w:b/>
                <w:bCs/>
                <w:sz w:val="20"/>
                <w:szCs w:val="20"/>
              </w:rPr>
              <w:t xml:space="preserve">Билансна позиција </w:t>
            </w:r>
          </w:p>
        </w:tc>
        <w:tc>
          <w:tcPr>
            <w:tcW w:w="1730" w:type="dxa"/>
            <w:tcBorders>
              <w:top w:val="single" w:sz="4" w:space="0" w:color="auto"/>
              <w:left w:val="nil"/>
              <w:bottom w:val="single" w:sz="4" w:space="0" w:color="auto"/>
              <w:right w:val="single" w:sz="4" w:space="0" w:color="auto"/>
            </w:tcBorders>
            <w:shd w:val="clear" w:color="000000" w:fill="8DB3E2"/>
            <w:vAlign w:val="center"/>
            <w:hideMark/>
          </w:tcPr>
          <w:p w:rsidR="00B56D60" w:rsidRPr="00B56D60" w:rsidRDefault="00B56D60" w:rsidP="00B56D60">
            <w:pPr>
              <w:jc w:val="center"/>
              <w:rPr>
                <w:rFonts w:ascii="Calibri" w:hAnsi="Calibri"/>
                <w:b/>
                <w:bCs/>
                <w:sz w:val="20"/>
                <w:szCs w:val="20"/>
              </w:rPr>
            </w:pPr>
            <w:r w:rsidRPr="00B56D60">
              <w:rPr>
                <w:rFonts w:ascii="Calibri" w:hAnsi="Calibri"/>
                <w:b/>
                <w:bCs/>
                <w:sz w:val="20"/>
                <w:szCs w:val="20"/>
              </w:rPr>
              <w:t>Стање на дан 31.12.2023.</w:t>
            </w:r>
          </w:p>
        </w:tc>
        <w:tc>
          <w:tcPr>
            <w:tcW w:w="1660" w:type="dxa"/>
            <w:tcBorders>
              <w:top w:val="single" w:sz="4" w:space="0" w:color="auto"/>
              <w:left w:val="nil"/>
              <w:bottom w:val="single" w:sz="4" w:space="0" w:color="auto"/>
              <w:right w:val="single" w:sz="4" w:space="0" w:color="auto"/>
            </w:tcBorders>
            <w:shd w:val="clear" w:color="000000" w:fill="8DB3E2"/>
            <w:vAlign w:val="center"/>
            <w:hideMark/>
          </w:tcPr>
          <w:p w:rsidR="00B56D60" w:rsidRPr="00B56D60" w:rsidRDefault="00B56D60" w:rsidP="00B56D60">
            <w:pPr>
              <w:jc w:val="center"/>
              <w:rPr>
                <w:rFonts w:ascii="Calibri" w:hAnsi="Calibri"/>
                <w:b/>
                <w:bCs/>
                <w:sz w:val="20"/>
                <w:szCs w:val="20"/>
              </w:rPr>
            </w:pPr>
            <w:r w:rsidRPr="00B56D60">
              <w:rPr>
                <w:rFonts w:ascii="Calibri" w:hAnsi="Calibri"/>
                <w:b/>
                <w:bCs/>
                <w:sz w:val="20"/>
                <w:szCs w:val="20"/>
              </w:rPr>
              <w:t>Стање на дан 31.12.2024.</w:t>
            </w:r>
          </w:p>
        </w:tc>
        <w:tc>
          <w:tcPr>
            <w:tcW w:w="1080" w:type="dxa"/>
            <w:tcBorders>
              <w:top w:val="single" w:sz="4" w:space="0" w:color="auto"/>
              <w:left w:val="nil"/>
              <w:bottom w:val="single" w:sz="4" w:space="0" w:color="auto"/>
              <w:right w:val="single" w:sz="4" w:space="0" w:color="auto"/>
            </w:tcBorders>
            <w:shd w:val="clear" w:color="000000" w:fill="8DB3E2"/>
            <w:noWrap/>
            <w:vAlign w:val="center"/>
            <w:hideMark/>
          </w:tcPr>
          <w:p w:rsidR="00B56D60" w:rsidRPr="00B56D60" w:rsidRDefault="00B56D60" w:rsidP="00B56D60">
            <w:pPr>
              <w:jc w:val="center"/>
              <w:rPr>
                <w:rFonts w:ascii="Calibri" w:hAnsi="Calibri"/>
                <w:b/>
                <w:bCs/>
                <w:sz w:val="20"/>
                <w:szCs w:val="20"/>
              </w:rPr>
            </w:pPr>
            <w:r w:rsidRPr="00B56D60">
              <w:rPr>
                <w:rFonts w:ascii="Calibri" w:hAnsi="Calibri"/>
                <w:b/>
                <w:bCs/>
                <w:sz w:val="20"/>
                <w:szCs w:val="20"/>
              </w:rPr>
              <w:t xml:space="preserve">Индекс </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Укупно текућа средства</w:t>
            </w:r>
          </w:p>
        </w:tc>
        <w:tc>
          <w:tcPr>
            <w:tcW w:w="173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color w:val="auto"/>
                <w:sz w:val="20"/>
                <w:szCs w:val="20"/>
              </w:rPr>
            </w:pPr>
            <w:r w:rsidRPr="00B56D60">
              <w:rPr>
                <w:rFonts w:ascii="Calibri" w:hAnsi="Calibri"/>
                <w:b/>
                <w:bCs/>
                <w:color w:val="auto"/>
                <w:sz w:val="20"/>
                <w:szCs w:val="20"/>
              </w:rPr>
              <w:t>20.553.861,09</w:t>
            </w:r>
          </w:p>
        </w:tc>
        <w:tc>
          <w:tcPr>
            <w:tcW w:w="166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color w:val="auto"/>
                <w:sz w:val="20"/>
                <w:szCs w:val="20"/>
              </w:rPr>
            </w:pPr>
            <w:r w:rsidRPr="00B56D60">
              <w:rPr>
                <w:rFonts w:ascii="Calibri" w:hAnsi="Calibri"/>
                <w:b/>
                <w:bCs/>
                <w:color w:val="auto"/>
                <w:sz w:val="20"/>
                <w:szCs w:val="20"/>
              </w:rPr>
              <w:t>17.629.364,92</w:t>
            </w:r>
          </w:p>
        </w:tc>
        <w:tc>
          <w:tcPr>
            <w:tcW w:w="108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85,77</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 xml:space="preserve">Готовина </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854.171,43</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715.910,43</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83,81</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Опозиви депозити</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100.000,00</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0,00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Потраживањa</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color w:val="auto"/>
                <w:sz w:val="20"/>
                <w:szCs w:val="20"/>
              </w:rPr>
            </w:pPr>
            <w:r w:rsidRPr="00B56D60">
              <w:rPr>
                <w:rFonts w:ascii="Calibri" w:hAnsi="Calibri"/>
                <w:color w:val="auto"/>
                <w:sz w:val="20"/>
                <w:szCs w:val="20"/>
              </w:rPr>
              <w:t>541.728,17</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color w:val="auto"/>
                <w:sz w:val="20"/>
                <w:szCs w:val="20"/>
              </w:rPr>
            </w:pPr>
            <w:r w:rsidRPr="00B56D60">
              <w:rPr>
                <w:rFonts w:ascii="Calibri" w:hAnsi="Calibri"/>
                <w:color w:val="auto"/>
                <w:sz w:val="20"/>
                <w:szCs w:val="20"/>
              </w:rPr>
              <w:t>672.577,79</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124,15</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Хартије од вриједности</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11.641.849,00</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8.099.213,31</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69,57</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Остали пласмани и АВР</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7.416.112,49</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8.141.663,39</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109,78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Укупно стална средства</w:t>
            </w:r>
          </w:p>
        </w:tc>
        <w:tc>
          <w:tcPr>
            <w:tcW w:w="173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325.769,77</w:t>
            </w:r>
          </w:p>
        </w:tc>
        <w:tc>
          <w:tcPr>
            <w:tcW w:w="166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177.494,34</w:t>
            </w:r>
          </w:p>
        </w:tc>
        <w:tc>
          <w:tcPr>
            <w:tcW w:w="108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54,48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Основна средства и улагања у некретнине</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177.822,52</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2878D8" w:rsidP="00B56D60">
            <w:pPr>
              <w:jc w:val="right"/>
              <w:rPr>
                <w:rFonts w:ascii="Calibri" w:hAnsi="Calibri"/>
                <w:sz w:val="20"/>
                <w:szCs w:val="20"/>
              </w:rPr>
            </w:pPr>
            <w:r>
              <w:rPr>
                <w:rFonts w:asciiTheme="minorHAnsi" w:hAnsiTheme="minorHAnsi"/>
                <w:color w:val="auto"/>
                <w:sz w:val="20"/>
                <w:szCs w:val="20"/>
                <w:lang w:val="sr-Cyrl-CS" w:eastAsia="sr-Cyrl-CS"/>
              </w:rPr>
              <w:t>116.238,55</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2878D8" w:rsidRDefault="002878D8" w:rsidP="00B56D60">
            <w:pPr>
              <w:jc w:val="right"/>
              <w:rPr>
                <w:rFonts w:ascii="Calibri" w:hAnsi="Calibri"/>
                <w:sz w:val="20"/>
                <w:szCs w:val="20"/>
                <w:lang w:val="sr-Cyrl-RS"/>
              </w:rPr>
            </w:pPr>
            <w:r>
              <w:rPr>
                <w:rFonts w:ascii="Calibri" w:hAnsi="Calibri"/>
                <w:sz w:val="20"/>
                <w:szCs w:val="20"/>
                <w:lang w:val="sr-Cyrl-RS"/>
              </w:rPr>
              <w:t>65,37</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Остала нематеријална средства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49.318,25</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42.037,46</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85,24</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Стална средства намијењена продаји</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98.629,00</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2878D8" w:rsidP="00B56D60">
            <w:pPr>
              <w:jc w:val="right"/>
              <w:rPr>
                <w:rFonts w:ascii="Calibri" w:hAnsi="Calibri"/>
                <w:sz w:val="20"/>
                <w:szCs w:val="20"/>
              </w:rPr>
            </w:pPr>
            <w:r>
              <w:rPr>
                <w:rFonts w:asciiTheme="minorHAnsi" w:hAnsiTheme="minorHAnsi"/>
                <w:color w:val="auto"/>
                <w:sz w:val="20"/>
                <w:szCs w:val="20"/>
                <w:lang w:val="sr-Cyrl-CS" w:eastAsia="sr-Cyrl-CS"/>
              </w:rPr>
              <w:t>19.218,33</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2878D8" w:rsidRDefault="002878D8" w:rsidP="00B56D60">
            <w:pPr>
              <w:jc w:val="right"/>
              <w:rPr>
                <w:rFonts w:ascii="Calibri" w:hAnsi="Calibri"/>
                <w:sz w:val="20"/>
                <w:szCs w:val="20"/>
                <w:lang w:val="sr-Cyrl-RS"/>
              </w:rPr>
            </w:pPr>
            <w:r>
              <w:rPr>
                <w:rFonts w:ascii="Calibri" w:hAnsi="Calibri"/>
                <w:sz w:val="20"/>
                <w:szCs w:val="20"/>
                <w:lang w:val="sr-Cyrl-RS"/>
              </w:rPr>
              <w:t>19,48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ПОСЛОВНА АКТИВА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20.879.630,86</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17.806.859,26</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85,28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ВАНБИЛАНСНА АКТИВА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53.569.487,72</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54.923.015,00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102,53</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000000" w:fill="8DB3E2"/>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УКУПНА АКТИВА</w:t>
            </w:r>
          </w:p>
        </w:tc>
        <w:tc>
          <w:tcPr>
            <w:tcW w:w="1730" w:type="dxa"/>
            <w:tcBorders>
              <w:top w:val="nil"/>
              <w:left w:val="nil"/>
              <w:bottom w:val="single" w:sz="4" w:space="0" w:color="auto"/>
              <w:right w:val="single" w:sz="4" w:space="0" w:color="auto"/>
            </w:tcBorders>
            <w:shd w:val="clear" w:color="000000" w:fill="8DB3E2"/>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74.449.118,58</w:t>
            </w:r>
          </w:p>
        </w:tc>
        <w:tc>
          <w:tcPr>
            <w:tcW w:w="1660" w:type="dxa"/>
            <w:tcBorders>
              <w:top w:val="nil"/>
              <w:left w:val="nil"/>
              <w:bottom w:val="single" w:sz="4" w:space="0" w:color="auto"/>
              <w:right w:val="single" w:sz="4" w:space="0" w:color="auto"/>
            </w:tcBorders>
            <w:shd w:val="clear" w:color="000000" w:fill="8DB3E2"/>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72.729.874,26</w:t>
            </w:r>
          </w:p>
        </w:tc>
        <w:tc>
          <w:tcPr>
            <w:tcW w:w="1080" w:type="dxa"/>
            <w:tcBorders>
              <w:top w:val="nil"/>
              <w:left w:val="nil"/>
              <w:bottom w:val="single" w:sz="4" w:space="0" w:color="auto"/>
              <w:right w:val="single" w:sz="4" w:space="0" w:color="auto"/>
            </w:tcBorders>
            <w:shd w:val="clear" w:color="000000" w:fill="8DB4E2"/>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97,69</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Укупно обавезе</w:t>
            </w:r>
          </w:p>
        </w:tc>
        <w:tc>
          <w:tcPr>
            <w:tcW w:w="173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color w:val="auto"/>
                <w:sz w:val="20"/>
                <w:szCs w:val="20"/>
              </w:rPr>
            </w:pPr>
            <w:r w:rsidRPr="00B56D60">
              <w:rPr>
                <w:rFonts w:ascii="Calibri" w:hAnsi="Calibri"/>
                <w:b/>
                <w:bCs/>
                <w:color w:val="auto"/>
                <w:sz w:val="20"/>
                <w:szCs w:val="20"/>
              </w:rPr>
              <w:t>3.050.241,61</w:t>
            </w:r>
          </w:p>
        </w:tc>
        <w:tc>
          <w:tcPr>
            <w:tcW w:w="166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color w:val="auto"/>
                <w:sz w:val="20"/>
                <w:szCs w:val="20"/>
              </w:rPr>
            </w:pPr>
            <w:r w:rsidRPr="00B56D60">
              <w:rPr>
                <w:rFonts w:ascii="Calibri" w:hAnsi="Calibri"/>
                <w:b/>
                <w:bCs/>
                <w:color w:val="auto"/>
                <w:sz w:val="20"/>
                <w:szCs w:val="20"/>
              </w:rPr>
              <w:t>957.268,83</w:t>
            </w:r>
          </w:p>
        </w:tc>
        <w:tc>
          <w:tcPr>
            <w:tcW w:w="108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31,38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Обавезе за камату по основу осталих фин. обавеза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color w:val="auto"/>
                <w:sz w:val="20"/>
                <w:szCs w:val="20"/>
              </w:rPr>
            </w:pPr>
            <w:r w:rsidRPr="00B56D60">
              <w:rPr>
                <w:rFonts w:ascii="Calibri" w:hAnsi="Calibri"/>
                <w:color w:val="auto"/>
                <w:sz w:val="20"/>
                <w:szCs w:val="20"/>
              </w:rPr>
              <w:t>288.993,46</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color w:val="auto"/>
                <w:sz w:val="20"/>
                <w:szCs w:val="20"/>
              </w:rPr>
            </w:pPr>
            <w:r w:rsidRPr="00B56D60">
              <w:rPr>
                <w:rFonts w:ascii="Calibri" w:hAnsi="Calibri"/>
                <w:color w:val="auto"/>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0,00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Обавезе за зараде и накнаде зарада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80.703,53</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65.066,50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80,62</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Обавезе за порезе и доприносе</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45.824,06</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38.190,85</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83,34</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Обавезе по основу активираних гаранција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1.485.962,50</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0,00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Остале обавезе</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59.072,47</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44.973,32</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76,13</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Резервисања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891.448,00</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679.650,24</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76,24</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ПВР у домаћој валути</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187.478,57</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118.628,90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63,28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color w:val="auto"/>
                <w:sz w:val="20"/>
                <w:szCs w:val="20"/>
              </w:rPr>
            </w:pPr>
            <w:r w:rsidRPr="00B56D60">
              <w:rPr>
                <w:rFonts w:ascii="Calibri" w:hAnsi="Calibri"/>
                <w:color w:val="auto"/>
                <w:sz w:val="20"/>
                <w:szCs w:val="20"/>
              </w:rPr>
              <w:t xml:space="preserve">Обавезе у страној валути </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10.759,02</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10.759,02</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100,00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B56D60" w:rsidRPr="00B56D60" w:rsidRDefault="00B56D60" w:rsidP="00B56D60">
            <w:pPr>
              <w:jc w:val="left"/>
              <w:rPr>
                <w:rFonts w:ascii="Calibri" w:hAnsi="Calibri"/>
                <w:b/>
                <w:bCs/>
                <w:color w:val="auto"/>
                <w:sz w:val="20"/>
                <w:szCs w:val="20"/>
              </w:rPr>
            </w:pPr>
            <w:r w:rsidRPr="00B56D60">
              <w:rPr>
                <w:rFonts w:ascii="Calibri" w:hAnsi="Calibri"/>
                <w:b/>
                <w:bCs/>
                <w:color w:val="auto"/>
                <w:sz w:val="20"/>
                <w:szCs w:val="20"/>
              </w:rPr>
              <w:t>Укупно капитал</w:t>
            </w:r>
          </w:p>
        </w:tc>
        <w:tc>
          <w:tcPr>
            <w:tcW w:w="173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17.829.389,00</w:t>
            </w:r>
          </w:p>
        </w:tc>
        <w:tc>
          <w:tcPr>
            <w:tcW w:w="166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16.849.590,43</w:t>
            </w:r>
          </w:p>
        </w:tc>
        <w:tc>
          <w:tcPr>
            <w:tcW w:w="1080" w:type="dxa"/>
            <w:tcBorders>
              <w:top w:val="nil"/>
              <w:left w:val="nil"/>
              <w:bottom w:val="single" w:sz="4" w:space="0" w:color="auto"/>
              <w:right w:val="single" w:sz="4" w:space="0" w:color="auto"/>
            </w:tcBorders>
            <w:shd w:val="clear" w:color="000000" w:fill="C5D9F1"/>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94,50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Акцијски капитал</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30.000.000,00</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30.000.000,00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100,00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Губитак из ранијих година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-10.384.912,00</w:t>
            </w:r>
          </w:p>
        </w:tc>
        <w:tc>
          <w:tcPr>
            <w:tcW w:w="1660" w:type="dxa"/>
            <w:tcBorders>
              <w:top w:val="nil"/>
              <w:left w:val="nil"/>
              <w:bottom w:val="single" w:sz="4" w:space="0" w:color="auto"/>
              <w:right w:val="single" w:sz="4" w:space="0" w:color="auto"/>
            </w:tcBorders>
            <w:shd w:val="clear" w:color="auto" w:fill="auto"/>
            <w:noWrap/>
            <w:vAlign w:val="bottom"/>
            <w:hideMark/>
          </w:tcPr>
          <w:p w:rsidR="00B56D60" w:rsidRPr="00B56D60" w:rsidRDefault="00B56D60" w:rsidP="00B56D60">
            <w:pPr>
              <w:jc w:val="right"/>
              <w:rPr>
                <w:rFonts w:ascii="Calibri" w:hAnsi="Calibri"/>
                <w:sz w:val="20"/>
                <w:szCs w:val="20"/>
              </w:rPr>
            </w:pPr>
            <w:r w:rsidRPr="00B56D60">
              <w:rPr>
                <w:rFonts w:ascii="Calibri" w:hAnsi="Calibri"/>
                <w:sz w:val="20"/>
                <w:szCs w:val="20"/>
              </w:rPr>
              <w:t>-12.170.611,31</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117,20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sz w:val="20"/>
                <w:szCs w:val="20"/>
              </w:rPr>
            </w:pPr>
            <w:r w:rsidRPr="00B56D60">
              <w:rPr>
                <w:rFonts w:ascii="Calibri" w:hAnsi="Calibri"/>
                <w:sz w:val="20"/>
                <w:szCs w:val="20"/>
              </w:rPr>
              <w:t>Добит/губитак текуће године</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color w:val="auto"/>
                <w:sz w:val="20"/>
                <w:szCs w:val="20"/>
              </w:rPr>
            </w:pPr>
            <w:r w:rsidRPr="00B56D60">
              <w:rPr>
                <w:rFonts w:ascii="Calibri" w:hAnsi="Calibri"/>
                <w:color w:val="auto"/>
                <w:sz w:val="20"/>
                <w:szCs w:val="20"/>
              </w:rPr>
              <w:t>-1.785.699,00</w:t>
            </w:r>
          </w:p>
        </w:tc>
        <w:tc>
          <w:tcPr>
            <w:tcW w:w="1660" w:type="dxa"/>
            <w:tcBorders>
              <w:top w:val="nil"/>
              <w:left w:val="nil"/>
              <w:bottom w:val="single" w:sz="4" w:space="0" w:color="auto"/>
              <w:right w:val="single" w:sz="4" w:space="0" w:color="auto"/>
            </w:tcBorders>
            <w:shd w:val="clear" w:color="auto" w:fill="auto"/>
            <w:noWrap/>
            <w:vAlign w:val="bottom"/>
            <w:hideMark/>
          </w:tcPr>
          <w:p w:rsidR="00B56D60" w:rsidRPr="00B56D60" w:rsidRDefault="00B56D60" w:rsidP="00B56D60">
            <w:pPr>
              <w:jc w:val="right"/>
              <w:rPr>
                <w:rFonts w:ascii="Calibri" w:hAnsi="Calibri"/>
                <w:sz w:val="20"/>
                <w:szCs w:val="20"/>
              </w:rPr>
            </w:pPr>
            <w:r w:rsidRPr="00B56D60">
              <w:rPr>
                <w:rFonts w:ascii="Calibri" w:hAnsi="Calibri"/>
                <w:sz w:val="20"/>
                <w:szCs w:val="20"/>
              </w:rPr>
              <w:t>-986.585,69</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55,25</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3C023B" w:rsidP="00B56D60">
            <w:pPr>
              <w:jc w:val="left"/>
              <w:rPr>
                <w:rFonts w:ascii="Calibri" w:hAnsi="Calibri"/>
                <w:sz w:val="20"/>
                <w:szCs w:val="20"/>
              </w:rPr>
            </w:pPr>
            <w:r>
              <w:rPr>
                <w:rFonts w:ascii="Calibri" w:hAnsi="Calibri"/>
                <w:sz w:val="20"/>
                <w:szCs w:val="20"/>
                <w:lang w:val="sr-Cyrl-RS"/>
              </w:rPr>
              <w:t>Ревализационе р</w:t>
            </w:r>
            <w:r w:rsidR="00B56D60" w:rsidRPr="00B56D60">
              <w:rPr>
                <w:rFonts w:ascii="Calibri" w:hAnsi="Calibri"/>
                <w:sz w:val="20"/>
                <w:szCs w:val="20"/>
              </w:rPr>
              <w:t>езерве</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color w:val="auto"/>
                <w:sz w:val="20"/>
                <w:szCs w:val="20"/>
              </w:rPr>
            </w:pPr>
            <w:r w:rsidRPr="00B56D60">
              <w:rPr>
                <w:rFonts w:ascii="Calibri" w:hAnsi="Calibri"/>
                <w:color w:val="auto"/>
                <w:sz w:val="20"/>
                <w:szCs w:val="20"/>
              </w:rPr>
              <w:t>0,00</w:t>
            </w:r>
          </w:p>
        </w:tc>
        <w:tc>
          <w:tcPr>
            <w:tcW w:w="1660" w:type="dxa"/>
            <w:tcBorders>
              <w:top w:val="nil"/>
              <w:left w:val="nil"/>
              <w:bottom w:val="single" w:sz="4" w:space="0" w:color="auto"/>
              <w:right w:val="single" w:sz="4" w:space="0" w:color="auto"/>
            </w:tcBorders>
            <w:shd w:val="clear" w:color="auto" w:fill="auto"/>
            <w:noWrap/>
            <w:vAlign w:val="bottom"/>
            <w:hideMark/>
          </w:tcPr>
          <w:p w:rsidR="00B56D60" w:rsidRPr="00B56D60" w:rsidRDefault="00B56D60" w:rsidP="00B56D60">
            <w:pPr>
              <w:jc w:val="right"/>
              <w:rPr>
                <w:rFonts w:ascii="Calibri" w:hAnsi="Calibri"/>
                <w:sz w:val="20"/>
                <w:szCs w:val="20"/>
              </w:rPr>
            </w:pPr>
            <w:r w:rsidRPr="00B56D60">
              <w:rPr>
                <w:rFonts w:ascii="Calibri" w:hAnsi="Calibri"/>
                <w:sz w:val="20"/>
                <w:szCs w:val="20"/>
              </w:rPr>
              <w:t>6.787,43</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0,00</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ПОСЛОВНА ПАСИВА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20.879.630,61</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17.806.859,26</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85,28</w:t>
            </w:r>
          </w:p>
        </w:tc>
      </w:tr>
      <w:tr w:rsidR="00B56D60" w:rsidRPr="00B56D60" w:rsidTr="00B56D60">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ВАНБИЛАНСНА ПАСИВА</w:t>
            </w:r>
          </w:p>
        </w:tc>
        <w:tc>
          <w:tcPr>
            <w:tcW w:w="173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53.569.487,72</w:t>
            </w:r>
          </w:p>
        </w:tc>
        <w:tc>
          <w:tcPr>
            <w:tcW w:w="166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54.923.015,00</w:t>
            </w:r>
          </w:p>
        </w:tc>
        <w:tc>
          <w:tcPr>
            <w:tcW w:w="1080" w:type="dxa"/>
            <w:tcBorders>
              <w:top w:val="nil"/>
              <w:left w:val="nil"/>
              <w:bottom w:val="single" w:sz="4" w:space="0" w:color="auto"/>
              <w:right w:val="single" w:sz="4" w:space="0" w:color="auto"/>
            </w:tcBorders>
            <w:shd w:val="clear" w:color="auto" w:fill="auto"/>
            <w:noWrap/>
            <w:vAlign w:val="center"/>
            <w:hideMark/>
          </w:tcPr>
          <w:p w:rsidR="00B56D60" w:rsidRPr="00B56D60" w:rsidRDefault="00B56D60" w:rsidP="00B56D60">
            <w:pPr>
              <w:jc w:val="right"/>
              <w:rPr>
                <w:rFonts w:ascii="Calibri" w:hAnsi="Calibri"/>
                <w:sz w:val="20"/>
                <w:szCs w:val="20"/>
              </w:rPr>
            </w:pPr>
            <w:r w:rsidRPr="00B56D60">
              <w:rPr>
                <w:rFonts w:ascii="Calibri" w:hAnsi="Calibri"/>
                <w:sz w:val="20"/>
                <w:szCs w:val="20"/>
              </w:rPr>
              <w:t>102,53</w:t>
            </w:r>
          </w:p>
        </w:tc>
      </w:tr>
      <w:tr w:rsidR="00B56D60" w:rsidRPr="00B56D60" w:rsidTr="00B56D60">
        <w:trPr>
          <w:trHeight w:val="315"/>
        </w:trPr>
        <w:tc>
          <w:tcPr>
            <w:tcW w:w="4410" w:type="dxa"/>
            <w:tcBorders>
              <w:top w:val="nil"/>
              <w:left w:val="single" w:sz="4" w:space="0" w:color="auto"/>
              <w:bottom w:val="single" w:sz="4" w:space="0" w:color="auto"/>
              <w:right w:val="single" w:sz="4" w:space="0" w:color="auto"/>
            </w:tcBorders>
            <w:shd w:val="clear" w:color="000000" w:fill="8DB3E2"/>
            <w:vAlign w:val="center"/>
            <w:hideMark/>
          </w:tcPr>
          <w:p w:rsidR="00B56D60" w:rsidRPr="00B56D60" w:rsidRDefault="00B56D60" w:rsidP="00B56D60">
            <w:pPr>
              <w:jc w:val="left"/>
              <w:rPr>
                <w:rFonts w:ascii="Calibri" w:hAnsi="Calibri"/>
                <w:b/>
                <w:bCs/>
                <w:sz w:val="20"/>
                <w:szCs w:val="20"/>
              </w:rPr>
            </w:pPr>
            <w:r w:rsidRPr="00B56D60">
              <w:rPr>
                <w:rFonts w:ascii="Calibri" w:hAnsi="Calibri"/>
                <w:b/>
                <w:bCs/>
                <w:sz w:val="20"/>
                <w:szCs w:val="20"/>
              </w:rPr>
              <w:t>УКУПНА ПАСИВА</w:t>
            </w:r>
          </w:p>
        </w:tc>
        <w:tc>
          <w:tcPr>
            <w:tcW w:w="1730" w:type="dxa"/>
            <w:tcBorders>
              <w:top w:val="nil"/>
              <w:left w:val="nil"/>
              <w:bottom w:val="single" w:sz="4" w:space="0" w:color="auto"/>
              <w:right w:val="single" w:sz="4" w:space="0" w:color="auto"/>
            </w:tcBorders>
            <w:shd w:val="clear" w:color="000000" w:fill="8DB3E2"/>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74.449.118,33</w:t>
            </w:r>
          </w:p>
        </w:tc>
        <w:tc>
          <w:tcPr>
            <w:tcW w:w="1660" w:type="dxa"/>
            <w:tcBorders>
              <w:top w:val="nil"/>
              <w:left w:val="nil"/>
              <w:bottom w:val="single" w:sz="4" w:space="0" w:color="auto"/>
              <w:right w:val="single" w:sz="4" w:space="0" w:color="auto"/>
            </w:tcBorders>
            <w:shd w:val="clear" w:color="000000" w:fill="8DB3E2"/>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72.729.874,26</w:t>
            </w:r>
          </w:p>
        </w:tc>
        <w:tc>
          <w:tcPr>
            <w:tcW w:w="1080" w:type="dxa"/>
            <w:tcBorders>
              <w:top w:val="nil"/>
              <w:left w:val="nil"/>
              <w:bottom w:val="single" w:sz="4" w:space="0" w:color="auto"/>
              <w:right w:val="single" w:sz="4" w:space="0" w:color="auto"/>
            </w:tcBorders>
            <w:shd w:val="clear" w:color="000000" w:fill="8DB4E2"/>
            <w:noWrap/>
            <w:vAlign w:val="center"/>
            <w:hideMark/>
          </w:tcPr>
          <w:p w:rsidR="00B56D60" w:rsidRPr="00B56D60" w:rsidRDefault="00B56D60" w:rsidP="00B56D60">
            <w:pPr>
              <w:jc w:val="right"/>
              <w:rPr>
                <w:rFonts w:ascii="Calibri" w:hAnsi="Calibri"/>
                <w:b/>
                <w:bCs/>
                <w:sz w:val="20"/>
                <w:szCs w:val="20"/>
              </w:rPr>
            </w:pPr>
            <w:r w:rsidRPr="00B56D60">
              <w:rPr>
                <w:rFonts w:ascii="Calibri" w:hAnsi="Calibri"/>
                <w:b/>
                <w:bCs/>
                <w:sz w:val="20"/>
                <w:szCs w:val="20"/>
              </w:rPr>
              <w:t>97,69</w:t>
            </w:r>
          </w:p>
        </w:tc>
      </w:tr>
    </w:tbl>
    <w:p w:rsidR="00170349" w:rsidRPr="00B56D60" w:rsidRDefault="00170349" w:rsidP="001538EF">
      <w:pPr>
        <w:rPr>
          <w:rFonts w:asciiTheme="minorHAnsi" w:hAnsiTheme="minorHAnsi"/>
          <w:color w:val="auto"/>
          <w:sz w:val="20"/>
          <w:szCs w:val="20"/>
          <w:lang w:eastAsia="sr-Cyrl-CS"/>
        </w:rPr>
      </w:pPr>
    </w:p>
    <w:p w:rsidR="001538EF" w:rsidRDefault="00543B93" w:rsidP="001538EF">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 У структури активе доминантно учешће имају те</w:t>
      </w:r>
      <w:r w:rsidR="00B56D60">
        <w:rPr>
          <w:rFonts w:asciiTheme="minorHAnsi" w:hAnsiTheme="minorHAnsi"/>
          <w:color w:val="auto"/>
          <w:sz w:val="20"/>
          <w:szCs w:val="20"/>
          <w:lang w:val="sr-Cyrl-CS" w:eastAsia="sr-Cyrl-CS"/>
        </w:rPr>
        <w:t>кућа средства која обухватају с</w:t>
      </w:r>
      <w:r w:rsidR="00B56D60">
        <w:rPr>
          <w:rFonts w:asciiTheme="minorHAnsi" w:hAnsiTheme="minorHAnsi"/>
          <w:color w:val="auto"/>
          <w:sz w:val="20"/>
          <w:szCs w:val="20"/>
          <w:lang w:val="sr-Cyrl-RS" w:eastAsia="sr-Cyrl-CS"/>
        </w:rPr>
        <w:t>љ</w:t>
      </w:r>
      <w:r>
        <w:rPr>
          <w:rFonts w:asciiTheme="minorHAnsi" w:hAnsiTheme="minorHAnsi"/>
          <w:color w:val="auto"/>
          <w:sz w:val="20"/>
          <w:szCs w:val="20"/>
          <w:lang w:val="sr-Cyrl-CS" w:eastAsia="sr-Cyrl-CS"/>
        </w:rPr>
        <w:t>едеће ставке:</w:t>
      </w:r>
    </w:p>
    <w:p w:rsidR="0052360C" w:rsidRPr="007C74A2" w:rsidRDefault="0052360C" w:rsidP="001538EF">
      <w:pPr>
        <w:rPr>
          <w:rFonts w:asciiTheme="minorHAnsi" w:hAnsiTheme="minorHAnsi"/>
          <w:color w:val="auto"/>
          <w:sz w:val="20"/>
          <w:szCs w:val="20"/>
          <w:lang w:val="sr-Cyrl-CS" w:eastAsia="sr-Cyrl-CS"/>
        </w:rPr>
      </w:pPr>
    </w:p>
    <w:p w:rsidR="001538EF" w:rsidRPr="00E9137A" w:rsidRDefault="001538EF" w:rsidP="00E9137A">
      <w:pPr>
        <w:pStyle w:val="ListParagraph"/>
        <w:numPr>
          <w:ilvl w:val="0"/>
          <w:numId w:val="21"/>
        </w:numPr>
        <w:tabs>
          <w:tab w:val="left" w:pos="709"/>
          <w:tab w:val="left" w:pos="1134"/>
        </w:tabs>
        <w:ind w:left="1134" w:hanging="425"/>
        <w:rPr>
          <w:rFonts w:asciiTheme="minorHAnsi" w:hAnsiTheme="minorHAnsi"/>
          <w:color w:val="auto"/>
          <w:sz w:val="20"/>
          <w:szCs w:val="20"/>
          <w:lang w:val="sr-Cyrl-CS" w:eastAsia="sr-Cyrl-CS"/>
        </w:rPr>
      </w:pPr>
      <w:r w:rsidRPr="00E9137A">
        <w:rPr>
          <w:rFonts w:asciiTheme="minorHAnsi" w:hAnsiTheme="minorHAnsi"/>
          <w:b/>
          <w:color w:val="auto"/>
          <w:sz w:val="20"/>
          <w:szCs w:val="20"/>
          <w:lang w:val="sr-Cyrl-CS" w:eastAsia="sr-Cyrl-CS"/>
        </w:rPr>
        <w:t xml:space="preserve">готовина </w:t>
      </w:r>
      <w:r w:rsidR="007C74A2" w:rsidRPr="00E9137A">
        <w:rPr>
          <w:rFonts w:asciiTheme="minorHAnsi" w:hAnsiTheme="minorHAnsi"/>
          <w:color w:val="auto"/>
          <w:sz w:val="20"/>
          <w:szCs w:val="20"/>
          <w:lang w:val="sr-Cyrl-CS" w:eastAsia="sr-Cyrl-CS"/>
        </w:rPr>
        <w:t xml:space="preserve">у износу од </w:t>
      </w:r>
      <w:r w:rsidR="00E9137A" w:rsidRPr="00E9137A">
        <w:rPr>
          <w:rFonts w:ascii="Calibri" w:hAnsi="Calibri"/>
          <w:color w:val="auto"/>
          <w:sz w:val="20"/>
          <w:szCs w:val="20"/>
          <w:lang w:val="sr-Cyrl-RS"/>
        </w:rPr>
        <w:t>715.910,43</w:t>
      </w:r>
      <w:r w:rsidR="007C74A2" w:rsidRPr="00E9137A">
        <w:rPr>
          <w:rFonts w:ascii="Calibri" w:hAnsi="Calibri"/>
          <w:color w:val="auto"/>
          <w:sz w:val="20"/>
          <w:szCs w:val="20"/>
          <w:lang w:val="sr-Cyrl-RS"/>
        </w:rPr>
        <w:t xml:space="preserve"> </w:t>
      </w:r>
      <w:r w:rsidRPr="00E9137A">
        <w:rPr>
          <w:rFonts w:asciiTheme="minorHAnsi" w:hAnsiTheme="minorHAnsi"/>
          <w:color w:val="auto"/>
          <w:sz w:val="20"/>
          <w:szCs w:val="20"/>
          <w:lang w:val="sr-Cyrl-CS" w:eastAsia="sr-Cyrl-CS"/>
        </w:rPr>
        <w:t>КМ</w:t>
      </w:r>
      <w:r w:rsidR="00E9137A" w:rsidRPr="00E9137A">
        <w:rPr>
          <w:rFonts w:asciiTheme="minorHAnsi" w:hAnsiTheme="minorHAnsi"/>
          <w:color w:val="auto"/>
          <w:sz w:val="20"/>
          <w:szCs w:val="20"/>
          <w:lang w:val="sr-Cyrl-CS" w:eastAsia="sr-Cyrl-CS"/>
        </w:rPr>
        <w:t>, а односи се на готовину на жиро рачунима и готовину у благајни;</w:t>
      </w:r>
    </w:p>
    <w:p w:rsidR="001538EF" w:rsidRPr="00E9137A" w:rsidRDefault="001538EF" w:rsidP="00AC030A">
      <w:pPr>
        <w:pStyle w:val="ListParagraph"/>
        <w:numPr>
          <w:ilvl w:val="0"/>
          <w:numId w:val="21"/>
        </w:numPr>
        <w:tabs>
          <w:tab w:val="left" w:pos="1134"/>
          <w:tab w:val="left" w:pos="1776"/>
        </w:tabs>
        <w:ind w:hanging="1427"/>
        <w:rPr>
          <w:rFonts w:asciiTheme="minorHAnsi" w:hAnsiTheme="minorHAnsi"/>
          <w:b/>
          <w:color w:val="auto"/>
          <w:sz w:val="20"/>
          <w:szCs w:val="20"/>
          <w:lang w:val="sr-Cyrl-CS" w:eastAsia="sr-Cyrl-CS"/>
        </w:rPr>
      </w:pPr>
      <w:r w:rsidRPr="00E9137A">
        <w:rPr>
          <w:rFonts w:asciiTheme="minorHAnsi" w:hAnsiTheme="minorHAnsi"/>
          <w:b/>
          <w:color w:val="auto"/>
          <w:sz w:val="20"/>
          <w:szCs w:val="20"/>
          <w:lang w:val="sr-Cyrl-CS" w:eastAsia="sr-Cyrl-CS"/>
        </w:rPr>
        <w:t>потраживања</w:t>
      </w:r>
      <w:r w:rsidRPr="00E9137A">
        <w:rPr>
          <w:rFonts w:asciiTheme="minorHAnsi" w:hAnsiTheme="minorHAnsi"/>
          <w:color w:val="auto"/>
          <w:sz w:val="20"/>
          <w:szCs w:val="20"/>
          <w:lang w:val="sr-Cyrl-CS" w:eastAsia="sr-Cyrl-CS"/>
        </w:rPr>
        <w:t xml:space="preserve"> </w:t>
      </w:r>
      <w:r w:rsidR="007C74A2" w:rsidRPr="00E9137A">
        <w:rPr>
          <w:rFonts w:asciiTheme="minorHAnsi" w:hAnsiTheme="minorHAnsi"/>
          <w:color w:val="auto"/>
          <w:sz w:val="20"/>
          <w:szCs w:val="20"/>
          <w:lang w:val="sr-Cyrl-CS" w:eastAsia="sr-Cyrl-CS"/>
        </w:rPr>
        <w:t xml:space="preserve">у износу од </w:t>
      </w:r>
      <w:r w:rsidR="00E9137A" w:rsidRPr="00E9137A">
        <w:rPr>
          <w:rFonts w:ascii="Calibri" w:hAnsi="Calibri"/>
          <w:color w:val="auto"/>
          <w:sz w:val="20"/>
          <w:szCs w:val="20"/>
        </w:rPr>
        <w:t>672.577,79</w:t>
      </w:r>
      <w:r w:rsidR="00E9137A" w:rsidRPr="00E9137A">
        <w:rPr>
          <w:rFonts w:ascii="Calibri" w:hAnsi="Calibri"/>
          <w:color w:val="auto"/>
          <w:sz w:val="20"/>
          <w:szCs w:val="20"/>
          <w:lang w:val="sr-Cyrl-RS"/>
        </w:rPr>
        <w:t xml:space="preserve"> </w:t>
      </w:r>
      <w:r w:rsidR="007C74A2" w:rsidRPr="00E9137A">
        <w:rPr>
          <w:rFonts w:asciiTheme="minorHAnsi" w:hAnsiTheme="minorHAnsi"/>
          <w:color w:val="auto"/>
          <w:sz w:val="20"/>
          <w:szCs w:val="20"/>
          <w:lang w:val="sr-Cyrl-CS" w:eastAsia="sr-Cyrl-CS"/>
        </w:rPr>
        <w:t>КМ, а односе се на</w:t>
      </w:r>
      <w:r w:rsidRPr="00E9137A">
        <w:rPr>
          <w:rFonts w:asciiTheme="minorHAnsi" w:hAnsiTheme="minorHAnsi"/>
          <w:color w:val="auto"/>
          <w:sz w:val="20"/>
          <w:szCs w:val="20"/>
          <w:lang w:val="sr-Cyrl-CS" w:eastAsia="sr-Cyrl-CS"/>
        </w:rPr>
        <w:t>:</w:t>
      </w:r>
    </w:p>
    <w:p w:rsidR="00040FA4" w:rsidRPr="00BA1682" w:rsidRDefault="00040FA4" w:rsidP="00040FA4">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BA1682">
        <w:rPr>
          <w:rFonts w:asciiTheme="minorHAnsi" w:hAnsiTheme="minorHAnsi"/>
          <w:color w:val="auto"/>
          <w:sz w:val="20"/>
          <w:szCs w:val="20"/>
          <w:lang w:val="sr-Cyrl-CS" w:eastAsia="sr-Cyrl-CS"/>
        </w:rPr>
        <w:t>потраживања за премију</w:t>
      </w:r>
      <w:r w:rsidR="00655955" w:rsidRPr="00BA1682">
        <w:rPr>
          <w:rFonts w:asciiTheme="minorHAnsi" w:hAnsiTheme="minorHAnsi"/>
          <w:color w:val="auto"/>
          <w:sz w:val="20"/>
          <w:szCs w:val="20"/>
          <w:lang w:val="sr-Cyrl-CS" w:eastAsia="sr-Cyrl-CS"/>
        </w:rPr>
        <w:t xml:space="preserve"> за издане гаранције у износу од</w:t>
      </w:r>
      <w:r w:rsidR="00655955" w:rsidRPr="00BA1682">
        <w:rPr>
          <w:rFonts w:asciiTheme="minorHAnsi" w:hAnsiTheme="minorHAnsi"/>
          <w:color w:val="auto"/>
          <w:sz w:val="20"/>
          <w:szCs w:val="20"/>
          <w:lang w:val="sr-Latn-BA" w:eastAsia="sr-Cyrl-CS"/>
        </w:rPr>
        <w:t xml:space="preserve"> </w:t>
      </w:r>
      <w:r w:rsidR="00E9137A" w:rsidRPr="00BA1682">
        <w:rPr>
          <w:rFonts w:asciiTheme="minorHAnsi" w:hAnsiTheme="minorHAnsi"/>
          <w:color w:val="auto"/>
          <w:sz w:val="20"/>
          <w:szCs w:val="20"/>
          <w:lang w:val="sr-Cyrl-RS" w:eastAsia="sr-Cyrl-CS"/>
        </w:rPr>
        <w:t>377.457,07 КМ</w:t>
      </w:r>
      <w:r w:rsidR="00655955" w:rsidRPr="00BA1682">
        <w:rPr>
          <w:rFonts w:asciiTheme="minorHAnsi" w:hAnsiTheme="minorHAnsi"/>
          <w:color w:val="auto"/>
          <w:sz w:val="20"/>
          <w:szCs w:val="20"/>
          <w:lang w:val="sr-Latn-BA" w:eastAsia="sr-Cyrl-CS"/>
        </w:rPr>
        <w:t xml:space="preserve">. </w:t>
      </w:r>
      <w:r w:rsidR="00655955" w:rsidRPr="00BA1682">
        <w:rPr>
          <w:rFonts w:asciiTheme="minorHAnsi" w:hAnsiTheme="minorHAnsi"/>
          <w:color w:val="auto"/>
          <w:sz w:val="20"/>
          <w:szCs w:val="20"/>
          <w:lang w:val="sr-Cyrl-BA" w:eastAsia="sr-Cyrl-CS"/>
        </w:rPr>
        <w:t>Сектор за мониторинг и наплату потраживања Гарантног фонда РС је обављајући редовне активности у току 202</w:t>
      </w:r>
      <w:r w:rsidRPr="00BA1682">
        <w:rPr>
          <w:rFonts w:asciiTheme="minorHAnsi" w:hAnsiTheme="minorHAnsi"/>
          <w:color w:val="auto"/>
          <w:sz w:val="20"/>
          <w:szCs w:val="20"/>
          <w:lang w:val="sr-Cyrl-BA" w:eastAsia="sr-Cyrl-CS"/>
        </w:rPr>
        <w:t>4</w:t>
      </w:r>
      <w:r w:rsidR="00655955" w:rsidRPr="00BA1682">
        <w:rPr>
          <w:rFonts w:asciiTheme="minorHAnsi" w:hAnsiTheme="minorHAnsi"/>
          <w:color w:val="auto"/>
          <w:sz w:val="20"/>
          <w:szCs w:val="20"/>
          <w:lang w:val="sr-Cyrl-BA" w:eastAsia="sr-Cyrl-CS"/>
        </w:rPr>
        <w:t>. године доставио 1</w:t>
      </w:r>
      <w:r w:rsidR="00BA1682" w:rsidRPr="00BA1682">
        <w:rPr>
          <w:rFonts w:asciiTheme="minorHAnsi" w:hAnsiTheme="minorHAnsi"/>
          <w:color w:val="auto"/>
          <w:sz w:val="20"/>
          <w:szCs w:val="20"/>
          <w:lang w:val="sr-Cyrl-BA" w:eastAsia="sr-Cyrl-CS"/>
        </w:rPr>
        <w:t>44</w:t>
      </w:r>
      <w:r w:rsidR="00655955" w:rsidRPr="00BA1682">
        <w:rPr>
          <w:rFonts w:asciiTheme="minorHAnsi" w:hAnsiTheme="minorHAnsi"/>
          <w:color w:val="auto"/>
          <w:sz w:val="20"/>
          <w:szCs w:val="20"/>
          <w:lang w:val="sr-Cyrl-BA" w:eastAsia="sr-Cyrl-CS"/>
        </w:rPr>
        <w:t xml:space="preserve"> опомен</w:t>
      </w:r>
      <w:r w:rsidR="00BA1682" w:rsidRPr="00BA1682">
        <w:rPr>
          <w:rFonts w:asciiTheme="minorHAnsi" w:hAnsiTheme="minorHAnsi"/>
          <w:color w:val="auto"/>
          <w:sz w:val="20"/>
          <w:szCs w:val="20"/>
          <w:lang w:val="sr-Cyrl-BA" w:eastAsia="sr-Cyrl-CS"/>
        </w:rPr>
        <w:t>е</w:t>
      </w:r>
      <w:r w:rsidR="00655955" w:rsidRPr="00BA1682">
        <w:rPr>
          <w:rFonts w:asciiTheme="minorHAnsi" w:hAnsiTheme="minorHAnsi"/>
          <w:color w:val="auto"/>
          <w:sz w:val="20"/>
          <w:szCs w:val="20"/>
          <w:lang w:val="sr-Cyrl-BA" w:eastAsia="sr-Cyrl-CS"/>
        </w:rPr>
        <w:t xml:space="preserve">  пред блокаду рачуна за</w:t>
      </w:r>
      <w:r w:rsidR="00F13F96" w:rsidRPr="00BA1682">
        <w:rPr>
          <w:rFonts w:asciiTheme="minorHAnsi" w:hAnsiTheme="minorHAnsi"/>
          <w:color w:val="auto"/>
          <w:sz w:val="20"/>
          <w:szCs w:val="20"/>
          <w:lang w:val="sr-Cyrl-BA" w:eastAsia="sr-Cyrl-CS"/>
        </w:rPr>
        <w:t xml:space="preserve"> неуредне налогодавце гаранција,</w:t>
      </w:r>
      <w:r w:rsidRPr="00BA1682">
        <w:rPr>
          <w:rFonts w:asciiTheme="minorHAnsi" w:hAnsiTheme="minorHAnsi"/>
          <w:color w:val="auto"/>
          <w:sz w:val="20"/>
          <w:szCs w:val="20"/>
          <w:lang w:val="sr-Cyrl-BA" w:eastAsia="sr-Cyrl-CS"/>
        </w:rPr>
        <w:t xml:space="preserve"> те извр</w:t>
      </w:r>
      <w:r w:rsidR="00F13F96" w:rsidRPr="00BA1682">
        <w:rPr>
          <w:rFonts w:asciiTheme="minorHAnsi" w:hAnsiTheme="minorHAnsi"/>
          <w:color w:val="auto"/>
          <w:sz w:val="20"/>
          <w:szCs w:val="20"/>
          <w:lang w:val="sr-Cyrl-BA" w:eastAsia="sr-Cyrl-CS"/>
        </w:rPr>
        <w:t xml:space="preserve">шио </w:t>
      </w:r>
      <w:r w:rsidR="00BA1682" w:rsidRPr="00BA1682">
        <w:rPr>
          <w:rFonts w:asciiTheme="minorHAnsi" w:hAnsiTheme="minorHAnsi"/>
          <w:color w:val="auto"/>
          <w:sz w:val="20"/>
          <w:szCs w:val="20"/>
          <w:lang w:val="sr-Cyrl-BA" w:eastAsia="sr-Cyrl-CS"/>
        </w:rPr>
        <w:t>7</w:t>
      </w:r>
      <w:r w:rsidR="00F13F96" w:rsidRPr="00BA1682">
        <w:rPr>
          <w:rFonts w:asciiTheme="minorHAnsi" w:hAnsiTheme="minorHAnsi"/>
          <w:color w:val="auto"/>
          <w:sz w:val="20"/>
          <w:szCs w:val="20"/>
          <w:lang w:val="sr-Cyrl-BA" w:eastAsia="sr-Cyrl-CS"/>
        </w:rPr>
        <w:t xml:space="preserve"> блокада рачина ради наплате потраживања путем мјенице. </w:t>
      </w:r>
      <w:r w:rsidR="00BA1682" w:rsidRPr="001C46D1">
        <w:rPr>
          <w:rFonts w:asciiTheme="minorHAnsi" w:hAnsiTheme="minorHAnsi"/>
          <w:color w:val="auto"/>
          <w:sz w:val="20"/>
          <w:szCs w:val="20"/>
          <w:lang w:val="sr-Cyrl-BA" w:eastAsia="sr-Cyrl-CS"/>
        </w:rPr>
        <w:t xml:space="preserve">Фонд је путем блокада рачуна мјеницом покушао наплатити износ </w:t>
      </w:r>
      <w:r w:rsidR="00BA1682" w:rsidRPr="001C46D1">
        <w:rPr>
          <w:rFonts w:asciiTheme="minorHAnsi" w:hAnsiTheme="minorHAnsi"/>
          <w:sz w:val="20"/>
          <w:szCs w:val="20"/>
          <w:lang w:val="sr-Cyrl-RS"/>
        </w:rPr>
        <w:t xml:space="preserve">од </w:t>
      </w:r>
      <w:r w:rsidR="00BA1682" w:rsidRPr="001C46D1">
        <w:rPr>
          <w:rFonts w:asciiTheme="minorHAnsi" w:hAnsiTheme="minorHAnsi"/>
          <w:sz w:val="20"/>
          <w:szCs w:val="20"/>
        </w:rPr>
        <w:t xml:space="preserve">116.847,50 KM, </w:t>
      </w:r>
      <w:r w:rsidR="00BA1682" w:rsidRPr="001C46D1">
        <w:rPr>
          <w:rFonts w:asciiTheme="minorHAnsi" w:hAnsiTheme="minorHAnsi"/>
          <w:sz w:val="20"/>
          <w:szCs w:val="20"/>
          <w:lang w:val="sr-Cyrl-RS"/>
        </w:rPr>
        <w:t>при чему је стварно наплаћено</w:t>
      </w:r>
      <w:r w:rsidR="00BA1682" w:rsidRPr="001C46D1">
        <w:rPr>
          <w:rFonts w:asciiTheme="minorHAnsi" w:hAnsiTheme="minorHAnsi"/>
          <w:sz w:val="20"/>
          <w:szCs w:val="20"/>
        </w:rPr>
        <w:t xml:space="preserve"> 17.242,82 KM</w:t>
      </w:r>
      <w:r w:rsidR="00BA1682" w:rsidRPr="001C46D1">
        <w:rPr>
          <w:rFonts w:asciiTheme="minorHAnsi" w:hAnsiTheme="minorHAnsi"/>
          <w:sz w:val="20"/>
          <w:szCs w:val="20"/>
          <w:lang w:val="sr-Cyrl-RS"/>
        </w:rPr>
        <w:t>.</w:t>
      </w:r>
      <w:r w:rsidR="00BA1682">
        <w:rPr>
          <w:sz w:val="20"/>
          <w:szCs w:val="20"/>
          <w:lang w:val="sr-Cyrl-RS"/>
        </w:rPr>
        <w:t xml:space="preserve"> </w:t>
      </w:r>
    </w:p>
    <w:p w:rsidR="00655955" w:rsidRPr="00040FA4" w:rsidRDefault="00040FA4" w:rsidP="00040FA4">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BA" w:eastAsia="sr-Cyrl-CS"/>
        </w:rPr>
        <w:t>потраживања за премију</w:t>
      </w:r>
      <w:r>
        <w:rPr>
          <w:rFonts w:asciiTheme="minorHAnsi" w:hAnsiTheme="minorHAnsi"/>
          <w:color w:val="auto"/>
          <w:sz w:val="20"/>
          <w:szCs w:val="20"/>
          <w:lang w:val="sr-Cyrl-BA" w:eastAsia="sr-Cyrl-CS"/>
        </w:rPr>
        <w:t xml:space="preserve"> и накнаду</w:t>
      </w:r>
      <w:r w:rsidRPr="00A445D7">
        <w:rPr>
          <w:rFonts w:asciiTheme="minorHAnsi" w:hAnsiTheme="minorHAnsi"/>
          <w:color w:val="auto"/>
          <w:sz w:val="20"/>
          <w:szCs w:val="20"/>
          <w:lang w:val="sr-Cyrl-BA" w:eastAsia="sr-Cyrl-CS"/>
        </w:rPr>
        <w:t xml:space="preserve"> за издане гаранције у оквиру </w:t>
      </w:r>
      <w:r>
        <w:rPr>
          <w:rFonts w:asciiTheme="minorHAnsi" w:hAnsiTheme="minorHAnsi"/>
          <w:color w:val="auto"/>
          <w:sz w:val="20"/>
          <w:szCs w:val="20"/>
          <w:lang w:val="sr-Cyrl-BA" w:eastAsia="sr-Cyrl-CS"/>
        </w:rPr>
        <w:t xml:space="preserve">кредитног портфеља у </w:t>
      </w:r>
      <w:r w:rsidRPr="00A445D7">
        <w:rPr>
          <w:rFonts w:asciiTheme="minorHAnsi" w:hAnsiTheme="minorHAnsi"/>
          <w:color w:val="auto"/>
          <w:sz w:val="20"/>
          <w:szCs w:val="20"/>
          <w:lang w:val="sr-Cyrl-BA" w:eastAsia="sr-Cyrl-CS"/>
        </w:rPr>
        <w:t xml:space="preserve">износу од </w:t>
      </w:r>
      <w:r>
        <w:rPr>
          <w:rFonts w:asciiTheme="minorHAnsi" w:hAnsiTheme="minorHAnsi"/>
          <w:color w:val="auto"/>
          <w:sz w:val="20"/>
          <w:szCs w:val="20"/>
          <w:lang w:val="sr-Cyrl-BA" w:eastAsia="sr-Cyrl-CS"/>
        </w:rPr>
        <w:t>58.730,90</w:t>
      </w:r>
      <w:r w:rsidRPr="00A445D7">
        <w:rPr>
          <w:rFonts w:asciiTheme="minorHAnsi" w:hAnsiTheme="minorHAnsi"/>
          <w:color w:val="auto"/>
          <w:sz w:val="20"/>
          <w:szCs w:val="20"/>
          <w:lang w:val="sr-Cyrl-BA" w:eastAsia="sr-Cyrl-CS"/>
        </w:rPr>
        <w:t xml:space="preserve"> К</w:t>
      </w:r>
      <w:r>
        <w:rPr>
          <w:rFonts w:asciiTheme="minorHAnsi" w:hAnsiTheme="minorHAnsi"/>
          <w:color w:val="auto"/>
          <w:sz w:val="20"/>
          <w:szCs w:val="20"/>
          <w:lang w:val="sr-Cyrl-BA" w:eastAsia="sr-Cyrl-CS"/>
        </w:rPr>
        <w:t>М;</w:t>
      </w:r>
    </w:p>
    <w:p w:rsidR="00655955" w:rsidRPr="00AC030A" w:rsidRDefault="001538EF" w:rsidP="00AC030A">
      <w:pPr>
        <w:pStyle w:val="ListParagraph"/>
        <w:numPr>
          <w:ilvl w:val="0"/>
          <w:numId w:val="20"/>
        </w:numPr>
        <w:tabs>
          <w:tab w:val="left" w:pos="1418"/>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CS" w:eastAsia="sr-Cyrl-CS"/>
        </w:rPr>
        <w:t xml:space="preserve">потраживања за затезне камате </w:t>
      </w:r>
      <w:r w:rsidR="00A445D7" w:rsidRPr="00A445D7">
        <w:rPr>
          <w:rFonts w:asciiTheme="minorHAnsi" w:hAnsiTheme="minorHAnsi"/>
          <w:color w:val="auto"/>
          <w:sz w:val="20"/>
          <w:szCs w:val="20"/>
          <w:lang w:val="sr-Cyrl-CS" w:eastAsia="sr-Cyrl-CS"/>
        </w:rPr>
        <w:t>обрачунате услијед</w:t>
      </w:r>
      <w:r w:rsidRPr="00A445D7">
        <w:rPr>
          <w:rFonts w:asciiTheme="minorHAnsi" w:hAnsiTheme="minorHAnsi"/>
          <w:color w:val="auto"/>
          <w:sz w:val="20"/>
          <w:szCs w:val="20"/>
          <w:lang w:val="sr-Cyrl-CS" w:eastAsia="sr-Cyrl-CS"/>
        </w:rPr>
        <w:t xml:space="preserve"> </w:t>
      </w:r>
      <w:r w:rsidR="00A445D7" w:rsidRPr="00A445D7">
        <w:rPr>
          <w:rFonts w:asciiTheme="minorHAnsi" w:hAnsiTheme="minorHAnsi"/>
          <w:color w:val="auto"/>
          <w:sz w:val="20"/>
          <w:szCs w:val="20"/>
          <w:lang w:val="sr-Cyrl-CS" w:eastAsia="sr-Cyrl-CS"/>
        </w:rPr>
        <w:t>кашњења у плаћању</w:t>
      </w:r>
      <w:r w:rsidRPr="00A445D7">
        <w:rPr>
          <w:rFonts w:asciiTheme="minorHAnsi" w:hAnsiTheme="minorHAnsi"/>
          <w:color w:val="auto"/>
          <w:sz w:val="20"/>
          <w:szCs w:val="20"/>
          <w:lang w:val="sr-Cyrl-CS" w:eastAsia="sr-Cyrl-CS"/>
        </w:rPr>
        <w:t xml:space="preserve"> премије</w:t>
      </w:r>
      <w:r w:rsidR="00A445D7" w:rsidRPr="00A445D7">
        <w:rPr>
          <w:rFonts w:asciiTheme="minorHAnsi" w:hAnsiTheme="minorHAnsi"/>
          <w:color w:val="auto"/>
          <w:sz w:val="20"/>
          <w:szCs w:val="20"/>
          <w:lang w:val="sr-Cyrl-CS" w:eastAsia="sr-Cyrl-CS"/>
        </w:rPr>
        <w:t xml:space="preserve"> у износу од </w:t>
      </w:r>
      <w:r w:rsidR="00E9137A">
        <w:rPr>
          <w:rFonts w:asciiTheme="minorHAnsi" w:hAnsiTheme="minorHAnsi"/>
          <w:color w:val="auto"/>
          <w:sz w:val="20"/>
          <w:szCs w:val="20"/>
          <w:lang w:val="sr-Cyrl-CS" w:eastAsia="sr-Cyrl-CS"/>
        </w:rPr>
        <w:t>316.352,83</w:t>
      </w:r>
      <w:r w:rsidR="00A445D7" w:rsidRPr="00A445D7">
        <w:rPr>
          <w:rFonts w:asciiTheme="minorHAnsi" w:hAnsiTheme="minorHAnsi"/>
          <w:color w:val="auto"/>
          <w:sz w:val="20"/>
          <w:szCs w:val="20"/>
          <w:lang w:val="sr-Cyrl-CS" w:eastAsia="sr-Cyrl-CS"/>
        </w:rPr>
        <w:t xml:space="preserve"> КМ</w:t>
      </w:r>
      <w:r w:rsidR="00E9137A">
        <w:rPr>
          <w:rFonts w:asciiTheme="minorHAnsi" w:hAnsiTheme="minorHAnsi"/>
          <w:color w:val="auto"/>
          <w:sz w:val="20"/>
          <w:szCs w:val="20"/>
          <w:lang w:val="sr-Cyrl-CS" w:eastAsia="sr-Cyrl-CS"/>
        </w:rPr>
        <w:t xml:space="preserve">. </w:t>
      </w:r>
    </w:p>
    <w:p w:rsidR="00040FA4" w:rsidRPr="00A445D7" w:rsidRDefault="00040FA4" w:rsidP="00492D7B">
      <w:pPr>
        <w:pStyle w:val="ListParagraph"/>
        <w:tabs>
          <w:tab w:val="left" w:pos="2484"/>
        </w:tabs>
        <w:ind w:left="1134"/>
        <w:rPr>
          <w:rFonts w:asciiTheme="minorHAnsi" w:hAnsiTheme="minorHAnsi"/>
          <w:b/>
          <w:color w:val="auto"/>
          <w:sz w:val="20"/>
          <w:szCs w:val="20"/>
          <w:lang w:val="sr-Cyrl-CS" w:eastAsia="sr-Cyrl-CS"/>
        </w:rPr>
      </w:pPr>
      <w:r w:rsidRPr="00AC030A">
        <w:rPr>
          <w:rFonts w:asciiTheme="minorHAnsi" w:hAnsiTheme="minorHAnsi"/>
          <w:color w:val="auto"/>
          <w:sz w:val="20"/>
          <w:szCs w:val="20"/>
          <w:lang w:val="sr-Cyrl-CS" w:eastAsia="sr-Cyrl-CS"/>
        </w:rPr>
        <w:t xml:space="preserve">Кориговани износ потраживања за премију и затезну камату, када се узме у обзир исправка вриједности, износи </w:t>
      </w:r>
      <w:r w:rsidR="00492D7B">
        <w:rPr>
          <w:rFonts w:asciiTheme="minorHAnsi" w:hAnsiTheme="minorHAnsi"/>
          <w:color w:val="auto"/>
          <w:sz w:val="20"/>
          <w:szCs w:val="20"/>
          <w:lang w:val="sr-Cyrl-CS" w:eastAsia="sr-Cyrl-CS"/>
        </w:rPr>
        <w:t>665.000,95</w:t>
      </w:r>
      <w:r w:rsidRPr="00AC030A">
        <w:rPr>
          <w:rFonts w:asciiTheme="minorHAnsi" w:hAnsiTheme="minorHAnsi"/>
          <w:color w:val="auto"/>
          <w:sz w:val="20"/>
          <w:szCs w:val="20"/>
          <w:lang w:val="sr-Cyrl-CS" w:eastAsia="sr-Cyrl-CS"/>
        </w:rPr>
        <w:t xml:space="preserve"> КМ.</w:t>
      </w:r>
    </w:p>
    <w:p w:rsidR="001538EF" w:rsidRPr="00A445D7" w:rsidRDefault="001538EF" w:rsidP="00AC030A">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BA" w:eastAsia="sr-Cyrl-CS"/>
        </w:rPr>
        <w:t>остала потраживања</w:t>
      </w:r>
      <w:r w:rsidR="00886690" w:rsidRPr="00A445D7">
        <w:rPr>
          <w:rFonts w:asciiTheme="minorHAnsi" w:hAnsiTheme="minorHAnsi"/>
          <w:color w:val="auto"/>
          <w:sz w:val="20"/>
          <w:szCs w:val="20"/>
          <w:lang w:val="sr-Cyrl-BA" w:eastAsia="sr-Cyrl-CS"/>
        </w:rPr>
        <w:t xml:space="preserve"> из оперативног пословања у износу од </w:t>
      </w:r>
      <w:r w:rsidR="00040FA4">
        <w:rPr>
          <w:rFonts w:asciiTheme="minorHAnsi" w:hAnsiTheme="minorHAnsi"/>
          <w:color w:val="auto"/>
          <w:sz w:val="20"/>
          <w:szCs w:val="20"/>
          <w:lang w:val="sr-Cyrl-BA" w:eastAsia="sr-Cyrl-CS"/>
        </w:rPr>
        <w:t>7.576,84</w:t>
      </w:r>
      <w:r w:rsidR="00886690" w:rsidRPr="00A445D7">
        <w:rPr>
          <w:rFonts w:asciiTheme="minorHAnsi" w:hAnsiTheme="minorHAnsi"/>
          <w:color w:val="auto"/>
          <w:sz w:val="20"/>
          <w:szCs w:val="20"/>
          <w:lang w:val="sr-Cyrl-BA" w:eastAsia="sr-Cyrl-CS"/>
        </w:rPr>
        <w:t xml:space="preserve"> КМ, </w:t>
      </w:r>
      <w:r w:rsidRPr="00A445D7">
        <w:rPr>
          <w:rFonts w:asciiTheme="minorHAnsi" w:hAnsiTheme="minorHAnsi"/>
          <w:color w:val="auto"/>
          <w:sz w:val="20"/>
          <w:szCs w:val="20"/>
          <w:lang w:val="sr-Cyrl-BA" w:eastAsia="sr-Cyrl-CS"/>
        </w:rPr>
        <w:t xml:space="preserve">а која </w:t>
      </w:r>
      <w:r w:rsidR="00040FA4">
        <w:rPr>
          <w:rFonts w:asciiTheme="minorHAnsi" w:hAnsiTheme="minorHAnsi"/>
          <w:color w:val="auto"/>
          <w:sz w:val="20"/>
          <w:szCs w:val="20"/>
          <w:lang w:val="sr-Cyrl-BA" w:eastAsia="sr-Cyrl-CS"/>
        </w:rPr>
        <w:t xml:space="preserve">обухватају </w:t>
      </w:r>
      <w:r w:rsidRPr="00A445D7">
        <w:rPr>
          <w:rFonts w:asciiTheme="minorHAnsi" w:hAnsiTheme="minorHAnsi"/>
          <w:color w:val="auto"/>
          <w:sz w:val="20"/>
          <w:szCs w:val="20"/>
          <w:lang w:val="sr-Cyrl-BA" w:eastAsia="sr-Cyrl-CS"/>
        </w:rPr>
        <w:t xml:space="preserve">потраживања за рефундацију за трудничко боловање у износу од </w:t>
      </w:r>
      <w:r w:rsidR="00040FA4">
        <w:rPr>
          <w:rFonts w:asciiTheme="minorHAnsi" w:hAnsiTheme="minorHAnsi"/>
          <w:color w:val="auto"/>
          <w:sz w:val="20"/>
          <w:szCs w:val="20"/>
          <w:lang w:val="sr-Cyrl-BA" w:eastAsia="sr-Cyrl-CS"/>
        </w:rPr>
        <w:t>7.751,64</w:t>
      </w:r>
      <w:r w:rsidRPr="00A445D7">
        <w:rPr>
          <w:rFonts w:asciiTheme="minorHAnsi" w:hAnsiTheme="minorHAnsi"/>
          <w:color w:val="auto"/>
          <w:sz w:val="20"/>
          <w:szCs w:val="20"/>
          <w:lang w:val="sr-Cyrl-BA" w:eastAsia="sr-Cyrl-CS"/>
        </w:rPr>
        <w:t xml:space="preserve"> КМ</w:t>
      </w:r>
      <w:r w:rsidR="00A445D7" w:rsidRPr="00A445D7">
        <w:rPr>
          <w:rFonts w:asciiTheme="minorHAnsi" w:hAnsiTheme="minorHAnsi"/>
          <w:color w:val="auto"/>
          <w:sz w:val="20"/>
          <w:szCs w:val="20"/>
          <w:lang w:val="sr-Cyrl-BA" w:eastAsia="sr-Cyrl-CS"/>
        </w:rPr>
        <w:t>,</w:t>
      </w:r>
      <w:r w:rsidRPr="00A445D7">
        <w:rPr>
          <w:rFonts w:asciiTheme="minorHAnsi" w:hAnsiTheme="minorHAnsi"/>
          <w:color w:val="auto"/>
          <w:sz w:val="20"/>
          <w:szCs w:val="20"/>
          <w:lang w:val="sr-Cyrl-BA" w:eastAsia="sr-Cyrl-CS"/>
        </w:rPr>
        <w:t xml:space="preserve"> </w:t>
      </w:r>
      <w:r w:rsidR="00040FA4">
        <w:rPr>
          <w:rFonts w:asciiTheme="minorHAnsi" w:hAnsiTheme="minorHAnsi"/>
          <w:color w:val="auto"/>
          <w:sz w:val="20"/>
          <w:szCs w:val="20"/>
          <w:lang w:val="sr-Cyrl-BA" w:eastAsia="sr-Cyrl-CS"/>
        </w:rPr>
        <w:t xml:space="preserve">друга потраживања од услуга у домаћем платном промету у износу од 202,80 КМ, </w:t>
      </w:r>
      <w:r w:rsidRPr="00A445D7">
        <w:rPr>
          <w:rFonts w:asciiTheme="minorHAnsi" w:hAnsiTheme="minorHAnsi"/>
          <w:color w:val="auto"/>
          <w:sz w:val="20"/>
          <w:szCs w:val="20"/>
          <w:lang w:val="sr-Cyrl-BA" w:eastAsia="sr-Cyrl-CS"/>
        </w:rPr>
        <w:t>те остала потраживања</w:t>
      </w:r>
      <w:r w:rsidR="00AC030A">
        <w:rPr>
          <w:rFonts w:asciiTheme="minorHAnsi" w:hAnsiTheme="minorHAnsi"/>
          <w:color w:val="auto"/>
          <w:sz w:val="20"/>
          <w:szCs w:val="20"/>
          <w:lang w:val="sr-Cyrl-BA" w:eastAsia="sr-Cyrl-CS"/>
        </w:rPr>
        <w:t xml:space="preserve"> из оперативног пословања</w:t>
      </w:r>
      <w:r w:rsidRPr="00A445D7">
        <w:rPr>
          <w:rFonts w:asciiTheme="minorHAnsi" w:hAnsiTheme="minorHAnsi"/>
          <w:color w:val="auto"/>
          <w:sz w:val="20"/>
          <w:szCs w:val="20"/>
          <w:lang w:val="sr-Cyrl-BA" w:eastAsia="sr-Cyrl-CS"/>
        </w:rPr>
        <w:t xml:space="preserve"> у износу од </w:t>
      </w:r>
      <w:r w:rsidR="00040FA4">
        <w:rPr>
          <w:rFonts w:asciiTheme="minorHAnsi" w:hAnsiTheme="minorHAnsi"/>
          <w:color w:val="auto"/>
          <w:sz w:val="20"/>
          <w:szCs w:val="20"/>
          <w:lang w:val="sr-Cyrl-BA" w:eastAsia="sr-Cyrl-CS"/>
        </w:rPr>
        <w:t>91,90</w:t>
      </w:r>
      <w:r w:rsidRPr="00A445D7">
        <w:rPr>
          <w:rFonts w:asciiTheme="minorHAnsi" w:hAnsiTheme="minorHAnsi"/>
          <w:color w:val="auto"/>
          <w:sz w:val="20"/>
          <w:szCs w:val="20"/>
          <w:lang w:val="sr-Cyrl-BA" w:eastAsia="sr-Cyrl-CS"/>
        </w:rPr>
        <w:t xml:space="preserve"> КМ</w:t>
      </w:r>
      <w:r w:rsidR="00040FA4">
        <w:rPr>
          <w:rFonts w:asciiTheme="minorHAnsi" w:hAnsiTheme="minorHAnsi"/>
          <w:color w:val="auto"/>
          <w:sz w:val="20"/>
          <w:szCs w:val="20"/>
          <w:lang w:val="sr-Cyrl-BA" w:eastAsia="sr-Cyrl-CS"/>
        </w:rPr>
        <w:t>. Исправка вриједности потраживања је извршена у износу од 469,50 КМ.</w:t>
      </w:r>
    </w:p>
    <w:p w:rsidR="001538EF" w:rsidRPr="00DF5027" w:rsidRDefault="004C0CBD" w:rsidP="00AC030A">
      <w:pPr>
        <w:pStyle w:val="ListParagraph"/>
        <w:numPr>
          <w:ilvl w:val="0"/>
          <w:numId w:val="25"/>
        </w:numPr>
        <w:tabs>
          <w:tab w:val="left" w:pos="1134"/>
        </w:tabs>
        <w:ind w:left="1134" w:hanging="425"/>
        <w:rPr>
          <w:rFonts w:asciiTheme="minorHAnsi" w:hAnsiTheme="minorHAnsi"/>
          <w:color w:val="auto"/>
          <w:sz w:val="20"/>
          <w:szCs w:val="20"/>
          <w:lang w:val="sr-Cyrl-CS" w:eastAsia="sr-Cyrl-CS"/>
        </w:rPr>
      </w:pPr>
      <w:r w:rsidRPr="00DF5027">
        <w:rPr>
          <w:rFonts w:asciiTheme="minorHAnsi" w:hAnsiTheme="minorHAnsi"/>
          <w:b/>
          <w:color w:val="auto"/>
          <w:sz w:val="20"/>
          <w:szCs w:val="20"/>
          <w:lang w:val="sr-Cyrl-CS" w:eastAsia="sr-Cyrl-CS"/>
        </w:rPr>
        <w:t>хартије од вриједности</w:t>
      </w:r>
      <w:r w:rsidRPr="00DF5027">
        <w:rPr>
          <w:rFonts w:asciiTheme="minorHAnsi" w:hAnsiTheme="minorHAnsi"/>
          <w:color w:val="auto"/>
          <w:sz w:val="20"/>
          <w:szCs w:val="20"/>
          <w:lang w:val="sr-Cyrl-CS" w:eastAsia="sr-Cyrl-CS"/>
        </w:rPr>
        <w:t xml:space="preserve"> у </w:t>
      </w:r>
      <w:r w:rsidR="001538EF" w:rsidRPr="00DF5027">
        <w:rPr>
          <w:rFonts w:asciiTheme="minorHAnsi" w:hAnsiTheme="minorHAnsi"/>
          <w:color w:val="auto"/>
          <w:sz w:val="20"/>
          <w:szCs w:val="20"/>
          <w:lang w:val="sr-Cyrl-CS" w:eastAsia="sr-Cyrl-CS"/>
        </w:rPr>
        <w:t xml:space="preserve">износу од </w:t>
      </w:r>
      <w:r w:rsidR="00492D7B" w:rsidRPr="00DF5027">
        <w:rPr>
          <w:rFonts w:asciiTheme="minorHAnsi" w:hAnsiTheme="minorHAnsi"/>
          <w:color w:val="auto"/>
          <w:sz w:val="20"/>
          <w:szCs w:val="20"/>
          <w:lang w:val="sr-Cyrl-RS"/>
        </w:rPr>
        <w:t>8.099.213,31</w:t>
      </w:r>
      <w:r w:rsidR="007C74A2" w:rsidRPr="00DF5027">
        <w:rPr>
          <w:rFonts w:asciiTheme="minorHAnsi" w:hAnsiTheme="minorHAnsi"/>
          <w:color w:val="auto"/>
          <w:sz w:val="20"/>
          <w:szCs w:val="20"/>
          <w:lang w:val="sr-Cyrl-RS"/>
        </w:rPr>
        <w:t xml:space="preserve"> КМ</w:t>
      </w:r>
      <w:r w:rsidR="00AC030A" w:rsidRPr="00DF5027">
        <w:rPr>
          <w:rFonts w:asciiTheme="minorHAnsi" w:hAnsiTheme="minorHAnsi"/>
          <w:color w:val="auto"/>
          <w:sz w:val="20"/>
          <w:szCs w:val="20"/>
          <w:lang w:val="sr-Cyrl-RS"/>
        </w:rPr>
        <w:t xml:space="preserve"> са исправком вриједности</w:t>
      </w:r>
      <w:r w:rsidR="00492D7B" w:rsidRPr="00DF5027">
        <w:rPr>
          <w:rFonts w:asciiTheme="minorHAnsi" w:hAnsiTheme="minorHAnsi"/>
          <w:color w:val="auto"/>
          <w:sz w:val="20"/>
          <w:szCs w:val="20"/>
          <w:lang w:val="sr-Cyrl-RS"/>
        </w:rPr>
        <w:t xml:space="preserve">, од чега се 8.001.572,09 </w:t>
      </w:r>
      <w:r w:rsidRPr="00DF5027">
        <w:rPr>
          <w:rFonts w:asciiTheme="minorHAnsi" w:hAnsiTheme="minorHAnsi"/>
          <w:color w:val="auto"/>
          <w:sz w:val="20"/>
          <w:szCs w:val="20"/>
          <w:lang w:val="sr-Cyrl-RS"/>
        </w:rPr>
        <w:t>КМ односи на дужничке хартије од вриједности које се држе до рока доспи</w:t>
      </w:r>
      <w:r w:rsidR="003C023B" w:rsidRPr="00DF5027">
        <w:rPr>
          <w:rFonts w:asciiTheme="minorHAnsi" w:hAnsiTheme="minorHAnsi"/>
          <w:color w:val="auto"/>
          <w:sz w:val="20"/>
          <w:szCs w:val="20"/>
          <w:lang w:val="sr-Cyrl-RS"/>
        </w:rPr>
        <w:t xml:space="preserve">јећа, а </w:t>
      </w:r>
      <w:r w:rsidR="00492D7B" w:rsidRPr="00DF5027">
        <w:rPr>
          <w:rFonts w:asciiTheme="minorHAnsi" w:hAnsiTheme="minorHAnsi"/>
          <w:color w:val="auto"/>
          <w:sz w:val="20"/>
          <w:szCs w:val="20"/>
          <w:lang w:val="sr-Cyrl-RS"/>
        </w:rPr>
        <w:t>109.914,98</w:t>
      </w:r>
      <w:r w:rsidRPr="00DF5027">
        <w:rPr>
          <w:rFonts w:asciiTheme="minorHAnsi" w:hAnsiTheme="minorHAnsi"/>
          <w:color w:val="auto"/>
          <w:sz w:val="20"/>
          <w:szCs w:val="20"/>
          <w:lang w:val="sr-Cyrl-RS"/>
        </w:rPr>
        <w:t xml:space="preserve"> КМ на потраживање по основу камате на исте</w:t>
      </w:r>
      <w:r w:rsidR="00492D7B" w:rsidRPr="00DF5027">
        <w:rPr>
          <w:rFonts w:asciiTheme="minorHAnsi" w:hAnsiTheme="minorHAnsi"/>
          <w:color w:val="auto"/>
          <w:sz w:val="20"/>
          <w:szCs w:val="20"/>
          <w:lang w:val="sr-Cyrl-RS"/>
        </w:rPr>
        <w:t xml:space="preserve">. </w:t>
      </w:r>
      <w:r w:rsidR="003C023B" w:rsidRPr="00DF5027">
        <w:rPr>
          <w:rFonts w:asciiTheme="minorHAnsi" w:hAnsiTheme="minorHAnsi"/>
          <w:color w:val="auto"/>
          <w:sz w:val="20"/>
          <w:szCs w:val="20"/>
          <w:lang w:val="sr-Cyrl-RS"/>
        </w:rPr>
        <w:t>У складу са МРС 9,</w:t>
      </w:r>
      <w:r w:rsidR="00DF5027" w:rsidRPr="00DF5027">
        <w:rPr>
          <w:rFonts w:asciiTheme="minorHAnsi" w:hAnsiTheme="minorHAnsi"/>
          <w:sz w:val="20"/>
          <w:szCs w:val="20"/>
          <w:lang w:val="sr-Cyrl-RS" w:eastAsia="en-GB"/>
        </w:rPr>
        <w:t xml:space="preserve"> Фонд утврђује очекивани кредитни губитак за ставке финансијске активе које се вреднују по амортизованом трошку и фер вриједности кроз остали укупни резултат, те је по овом основу извршена </w:t>
      </w:r>
      <w:r w:rsidR="00492D7B" w:rsidRPr="00DF5027">
        <w:rPr>
          <w:rFonts w:asciiTheme="minorHAnsi" w:hAnsiTheme="minorHAnsi"/>
          <w:color w:val="auto"/>
          <w:sz w:val="20"/>
          <w:szCs w:val="20"/>
          <w:lang w:val="sr-Cyrl-RS"/>
        </w:rPr>
        <w:t xml:space="preserve">исправка </w:t>
      </w:r>
      <w:r w:rsidR="003C023B" w:rsidRPr="00DF5027">
        <w:rPr>
          <w:rFonts w:asciiTheme="minorHAnsi" w:hAnsiTheme="minorHAnsi"/>
          <w:color w:val="auto"/>
          <w:sz w:val="20"/>
          <w:szCs w:val="20"/>
          <w:lang w:val="sr-Cyrl-RS"/>
        </w:rPr>
        <w:t xml:space="preserve">вриједности хартија у власништву Фонда у износу од </w:t>
      </w:r>
      <w:r w:rsidR="00492D7B" w:rsidRPr="00DF5027">
        <w:rPr>
          <w:rFonts w:asciiTheme="minorHAnsi" w:hAnsiTheme="minorHAnsi"/>
          <w:color w:val="auto"/>
          <w:sz w:val="20"/>
          <w:szCs w:val="20"/>
          <w:lang w:val="sr-Cyrl-RS"/>
        </w:rPr>
        <w:t>12.273,76</w:t>
      </w:r>
      <w:r w:rsidR="003C023B" w:rsidRPr="00DF5027">
        <w:rPr>
          <w:rFonts w:asciiTheme="minorHAnsi" w:hAnsiTheme="minorHAnsi"/>
          <w:color w:val="auto"/>
          <w:sz w:val="20"/>
          <w:szCs w:val="20"/>
          <w:lang w:val="sr-Cyrl-RS"/>
        </w:rPr>
        <w:t xml:space="preserve"> КМ.</w:t>
      </w:r>
    </w:p>
    <w:p w:rsidR="004F03D0" w:rsidRPr="004F03D0" w:rsidRDefault="004B146F" w:rsidP="006B5569">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D14A0D">
        <w:rPr>
          <w:rFonts w:asciiTheme="minorHAnsi" w:hAnsiTheme="minorHAnsi"/>
          <w:b/>
          <w:color w:val="auto"/>
          <w:sz w:val="20"/>
          <w:szCs w:val="20"/>
          <w:lang w:val="sr-Cyrl-CS" w:eastAsia="sr-Cyrl-CS"/>
        </w:rPr>
        <w:t>остали пласмани</w:t>
      </w:r>
      <w:r w:rsidR="004C0CBD" w:rsidRPr="00D14A0D">
        <w:rPr>
          <w:rFonts w:asciiTheme="minorHAnsi" w:hAnsiTheme="minorHAnsi"/>
          <w:color w:val="auto"/>
          <w:sz w:val="20"/>
          <w:szCs w:val="20"/>
          <w:lang w:val="sr-Cyrl-CS" w:eastAsia="sr-Cyrl-CS"/>
        </w:rPr>
        <w:t xml:space="preserve"> </w:t>
      </w:r>
      <w:r w:rsidR="00DF5027" w:rsidRPr="00D14A0D">
        <w:rPr>
          <w:rFonts w:asciiTheme="minorHAnsi" w:hAnsiTheme="minorHAnsi"/>
          <w:b/>
          <w:color w:val="auto"/>
          <w:sz w:val="20"/>
          <w:szCs w:val="20"/>
          <w:lang w:val="sr-Cyrl-CS" w:eastAsia="sr-Cyrl-CS"/>
        </w:rPr>
        <w:t>и АВР</w:t>
      </w:r>
      <w:r w:rsidR="00DF5027" w:rsidRPr="00D14A0D">
        <w:rPr>
          <w:rFonts w:asciiTheme="minorHAnsi" w:hAnsiTheme="minorHAnsi"/>
          <w:color w:val="auto"/>
          <w:sz w:val="20"/>
          <w:szCs w:val="20"/>
          <w:lang w:val="sr-Cyrl-CS" w:eastAsia="sr-Cyrl-CS"/>
        </w:rPr>
        <w:t xml:space="preserve"> </w:t>
      </w:r>
      <w:r w:rsidR="004C0CBD" w:rsidRPr="00D14A0D">
        <w:rPr>
          <w:rFonts w:asciiTheme="minorHAnsi" w:hAnsiTheme="minorHAnsi"/>
          <w:color w:val="auto"/>
          <w:sz w:val="20"/>
          <w:szCs w:val="20"/>
          <w:lang w:val="sr-Cyrl-CS" w:eastAsia="sr-Cyrl-CS"/>
        </w:rPr>
        <w:t xml:space="preserve">у износу од </w:t>
      </w:r>
      <w:r w:rsidR="00DF5027" w:rsidRPr="00D14A0D">
        <w:rPr>
          <w:rFonts w:ascii="Calibri" w:hAnsi="Calibri"/>
          <w:color w:val="auto"/>
          <w:sz w:val="20"/>
          <w:szCs w:val="20"/>
        </w:rPr>
        <w:t>8.141.663,39</w:t>
      </w:r>
      <w:r w:rsidR="00DF5027" w:rsidRPr="00D14A0D">
        <w:rPr>
          <w:rFonts w:ascii="Calibri" w:hAnsi="Calibri"/>
          <w:color w:val="auto"/>
          <w:sz w:val="20"/>
          <w:szCs w:val="20"/>
          <w:lang w:val="sr-Cyrl-RS"/>
        </w:rPr>
        <w:t xml:space="preserve"> </w:t>
      </w:r>
      <w:r w:rsidR="004C0CBD" w:rsidRPr="00D14A0D">
        <w:rPr>
          <w:rFonts w:asciiTheme="minorHAnsi" w:hAnsiTheme="minorHAnsi"/>
          <w:color w:val="auto"/>
          <w:sz w:val="20"/>
          <w:szCs w:val="20"/>
          <w:lang w:val="sr-Cyrl-CS" w:eastAsia="sr-Cyrl-CS"/>
        </w:rPr>
        <w:t>КМ</w:t>
      </w:r>
      <w:r w:rsidR="004F03D0">
        <w:rPr>
          <w:rFonts w:asciiTheme="minorHAnsi" w:hAnsiTheme="minorHAnsi"/>
          <w:color w:val="auto"/>
          <w:sz w:val="20"/>
          <w:szCs w:val="20"/>
          <w:lang w:val="sr-Cyrl-CS" w:eastAsia="sr-Cyrl-CS"/>
        </w:rPr>
        <w:t>, а који обухватају о</w:t>
      </w:r>
      <w:r w:rsidR="004F03D0" w:rsidRPr="006B5569">
        <w:rPr>
          <w:rFonts w:asciiTheme="minorHAnsi" w:hAnsiTheme="minorHAnsi"/>
          <w:color w:val="auto"/>
          <w:sz w:val="20"/>
          <w:szCs w:val="20"/>
          <w:lang w:val="sr-Latn-CS"/>
        </w:rPr>
        <w:t>стале пласмане у домаћој валути</w:t>
      </w:r>
      <w:r w:rsidR="004F03D0">
        <w:rPr>
          <w:rFonts w:asciiTheme="minorHAnsi" w:hAnsiTheme="minorHAnsi"/>
          <w:color w:val="auto"/>
          <w:sz w:val="20"/>
          <w:szCs w:val="20"/>
          <w:lang w:val="sr-Cyrl-BA"/>
        </w:rPr>
        <w:t xml:space="preserve">, </w:t>
      </w:r>
      <w:r w:rsidR="004F03D0" w:rsidRPr="006B5569">
        <w:rPr>
          <w:rFonts w:asciiTheme="minorHAnsi" w:hAnsiTheme="minorHAnsi"/>
          <w:color w:val="auto"/>
          <w:sz w:val="20"/>
          <w:szCs w:val="20"/>
          <w:lang w:val="sr-Cyrl-RS"/>
        </w:rPr>
        <w:t>пласмане за извршена плаћања по гаранцијама</w:t>
      </w:r>
      <w:r w:rsidR="004F03D0">
        <w:rPr>
          <w:rFonts w:asciiTheme="minorHAnsi" w:hAnsiTheme="minorHAnsi"/>
          <w:color w:val="auto"/>
          <w:sz w:val="20"/>
          <w:szCs w:val="20"/>
          <w:lang w:val="sr-Cyrl-RS"/>
        </w:rPr>
        <w:t>, удјеле и активна временска разграничења</w:t>
      </w:r>
      <w:r w:rsidR="004F03D0">
        <w:rPr>
          <w:rFonts w:asciiTheme="minorHAnsi" w:hAnsiTheme="minorHAnsi"/>
          <w:color w:val="auto"/>
          <w:sz w:val="20"/>
          <w:szCs w:val="20"/>
          <w:lang w:val="sr-Cyrl-CS" w:eastAsia="sr-Cyrl-CS"/>
        </w:rPr>
        <w:t>. З</w:t>
      </w:r>
      <w:r w:rsidR="004F03D0" w:rsidRPr="006B5569">
        <w:rPr>
          <w:rFonts w:asciiTheme="minorHAnsi" w:hAnsiTheme="minorHAnsi"/>
          <w:color w:val="auto"/>
          <w:sz w:val="20"/>
          <w:szCs w:val="20"/>
          <w:lang w:val="sr-Latn-CS"/>
        </w:rPr>
        <w:t>бог значаја износа исказаног у билансу стања</w:t>
      </w:r>
      <w:r w:rsidR="004F03D0">
        <w:rPr>
          <w:rFonts w:asciiTheme="minorHAnsi" w:hAnsiTheme="minorHAnsi"/>
          <w:color w:val="auto"/>
          <w:sz w:val="20"/>
          <w:szCs w:val="20"/>
          <w:lang w:val="sr-Cyrl-BA"/>
        </w:rPr>
        <w:t>, на прве двије ставке је усмјерена посебна пажња у поступку ревизије.</w:t>
      </w:r>
    </w:p>
    <w:p w:rsidR="004F03D0" w:rsidRDefault="004F03D0" w:rsidP="004F03D0">
      <w:pPr>
        <w:pStyle w:val="ListParagraph"/>
        <w:tabs>
          <w:tab w:val="left" w:pos="1134"/>
        </w:tabs>
        <w:ind w:left="1134"/>
        <w:rPr>
          <w:rFonts w:asciiTheme="minorHAnsi" w:hAnsiTheme="minorHAnsi"/>
          <w:color w:val="auto"/>
          <w:sz w:val="20"/>
          <w:szCs w:val="20"/>
          <w:lang w:val="sr-Cyrl-CS" w:eastAsia="sr-Cyrl-CS"/>
        </w:rPr>
      </w:pPr>
    </w:p>
    <w:p w:rsidR="004F03D0" w:rsidRDefault="004F03D0" w:rsidP="004F03D0">
      <w:pPr>
        <w:pStyle w:val="ListParagraph"/>
        <w:tabs>
          <w:tab w:val="left" w:pos="1134"/>
        </w:tabs>
        <w:ind w:left="1134"/>
        <w:rPr>
          <w:rFonts w:asciiTheme="minorHAnsi" w:hAnsiTheme="minorHAnsi"/>
          <w:color w:val="auto"/>
          <w:sz w:val="20"/>
          <w:szCs w:val="20"/>
          <w:lang w:val="sr-Cyrl-RS"/>
        </w:rPr>
      </w:pPr>
      <w:r w:rsidRPr="004F03D0">
        <w:rPr>
          <w:rFonts w:asciiTheme="minorHAnsi" w:hAnsiTheme="minorHAnsi"/>
          <w:b/>
          <w:color w:val="auto"/>
          <w:sz w:val="20"/>
          <w:szCs w:val="20"/>
          <w:lang w:val="sr-Cyrl-BA"/>
        </w:rPr>
        <w:t>1.</w:t>
      </w:r>
      <w:r>
        <w:rPr>
          <w:rFonts w:asciiTheme="minorHAnsi" w:hAnsiTheme="minorHAnsi"/>
          <w:color w:val="auto"/>
          <w:sz w:val="20"/>
          <w:szCs w:val="20"/>
          <w:lang w:val="sr-Cyrl-BA"/>
        </w:rPr>
        <w:t xml:space="preserve"> </w:t>
      </w:r>
      <w:r w:rsidR="006B5569" w:rsidRPr="006B5569">
        <w:rPr>
          <w:rFonts w:asciiTheme="minorHAnsi" w:hAnsiTheme="minorHAnsi"/>
          <w:color w:val="auto"/>
          <w:sz w:val="20"/>
          <w:szCs w:val="20"/>
          <w:lang w:val="sr-Latn-CS"/>
        </w:rPr>
        <w:t>У билансу стања на дан 31.12.202</w:t>
      </w:r>
      <w:r w:rsidR="006B5569" w:rsidRPr="006B5569">
        <w:rPr>
          <w:rFonts w:asciiTheme="minorHAnsi" w:hAnsiTheme="minorHAnsi"/>
          <w:color w:val="auto"/>
          <w:sz w:val="20"/>
          <w:szCs w:val="20"/>
          <w:lang w:val="sr-Cyrl-RS"/>
        </w:rPr>
        <w:t>4</w:t>
      </w:r>
      <w:r w:rsidR="006B5569" w:rsidRPr="006B5569">
        <w:rPr>
          <w:rFonts w:asciiTheme="minorHAnsi" w:hAnsiTheme="minorHAnsi"/>
          <w:color w:val="auto"/>
          <w:sz w:val="20"/>
          <w:szCs w:val="20"/>
          <w:lang w:val="sr-Latn-CS"/>
        </w:rPr>
        <w:t>.</w:t>
      </w:r>
      <w:r w:rsidR="006B5569" w:rsidRPr="006B5569">
        <w:rPr>
          <w:rFonts w:asciiTheme="minorHAnsi" w:hAnsiTheme="minorHAnsi"/>
          <w:color w:val="auto"/>
          <w:sz w:val="20"/>
          <w:szCs w:val="20"/>
          <w:lang w:val="sr-Cyrl-RS"/>
        </w:rPr>
        <w:t xml:space="preserve"> </w:t>
      </w:r>
      <w:r w:rsidR="006B5569" w:rsidRPr="006B5569">
        <w:rPr>
          <w:rFonts w:asciiTheme="minorHAnsi" w:hAnsiTheme="minorHAnsi"/>
          <w:color w:val="auto"/>
          <w:sz w:val="20"/>
          <w:szCs w:val="20"/>
          <w:lang w:val="sr-Latn-CS"/>
        </w:rPr>
        <w:t xml:space="preserve">године исказана је вриједност </w:t>
      </w:r>
      <w:r w:rsidR="006B5569" w:rsidRPr="004F03D0">
        <w:rPr>
          <w:rFonts w:asciiTheme="minorHAnsi" w:hAnsiTheme="minorHAnsi"/>
          <w:i/>
          <w:color w:val="auto"/>
          <w:sz w:val="20"/>
          <w:szCs w:val="20"/>
          <w:lang w:val="sr-Cyrl-RS"/>
        </w:rPr>
        <w:t xml:space="preserve">осталих пласмана </w:t>
      </w:r>
      <w:r>
        <w:rPr>
          <w:rFonts w:asciiTheme="minorHAnsi" w:hAnsiTheme="minorHAnsi"/>
          <w:i/>
          <w:color w:val="auto"/>
          <w:sz w:val="20"/>
          <w:szCs w:val="20"/>
          <w:lang w:val="sr-Cyrl-RS"/>
        </w:rPr>
        <w:t xml:space="preserve">у </w:t>
      </w:r>
      <w:r w:rsidR="006B5569" w:rsidRPr="004F03D0">
        <w:rPr>
          <w:rFonts w:asciiTheme="minorHAnsi" w:hAnsiTheme="minorHAnsi"/>
          <w:i/>
          <w:color w:val="auto"/>
          <w:sz w:val="20"/>
          <w:szCs w:val="20"/>
          <w:lang w:val="sr-Cyrl-RS"/>
        </w:rPr>
        <w:t>домаћој валути</w:t>
      </w:r>
      <w:r w:rsidR="006B5569" w:rsidRPr="006B5569">
        <w:rPr>
          <w:rFonts w:asciiTheme="minorHAnsi" w:hAnsiTheme="minorHAnsi"/>
          <w:color w:val="auto"/>
          <w:sz w:val="20"/>
          <w:szCs w:val="20"/>
          <w:lang w:val="sr-Cyrl-RS"/>
        </w:rPr>
        <w:t xml:space="preserve"> у </w:t>
      </w:r>
      <w:r w:rsidR="006B5569" w:rsidRPr="006B5569">
        <w:rPr>
          <w:rFonts w:asciiTheme="minorHAnsi" w:hAnsiTheme="minorHAnsi"/>
          <w:color w:val="auto"/>
          <w:sz w:val="20"/>
          <w:szCs w:val="20"/>
          <w:lang w:val="sr-Latn-CS"/>
        </w:rPr>
        <w:t xml:space="preserve">бруто износу </w:t>
      </w:r>
      <w:r w:rsidR="006B5569" w:rsidRPr="006B5569">
        <w:rPr>
          <w:rFonts w:asciiTheme="minorHAnsi" w:hAnsiTheme="minorHAnsi"/>
          <w:color w:val="auto"/>
          <w:sz w:val="20"/>
          <w:szCs w:val="20"/>
          <w:lang w:val="sr-Cyrl-RS"/>
        </w:rPr>
        <w:t xml:space="preserve">од </w:t>
      </w:r>
      <w:r w:rsidR="006B5569" w:rsidRPr="006B5569">
        <w:rPr>
          <w:rFonts w:asciiTheme="minorHAnsi" w:hAnsiTheme="minorHAnsi"/>
          <w:color w:val="auto"/>
          <w:sz w:val="20"/>
          <w:szCs w:val="20"/>
          <w:lang w:val="sr-Latn-CS"/>
        </w:rPr>
        <w:t>10.</w:t>
      </w:r>
      <w:r w:rsidR="006B5569" w:rsidRPr="006B5569">
        <w:rPr>
          <w:rFonts w:asciiTheme="minorHAnsi" w:hAnsiTheme="minorHAnsi"/>
          <w:color w:val="auto"/>
          <w:sz w:val="20"/>
          <w:szCs w:val="20"/>
          <w:lang w:val="sr-Cyrl-RS"/>
        </w:rPr>
        <w:t xml:space="preserve">933.341,00 </w:t>
      </w:r>
      <w:r w:rsidR="006B5569" w:rsidRPr="006B5569">
        <w:rPr>
          <w:rFonts w:asciiTheme="minorHAnsi" w:hAnsiTheme="minorHAnsi"/>
          <w:color w:val="auto"/>
          <w:sz w:val="20"/>
          <w:szCs w:val="20"/>
          <w:lang w:val="sr-Latn-CS"/>
        </w:rPr>
        <w:t xml:space="preserve">КМ, исправка вриједности </w:t>
      </w:r>
      <w:r w:rsidR="006B5569" w:rsidRPr="006B5569">
        <w:rPr>
          <w:rFonts w:asciiTheme="minorHAnsi" w:hAnsiTheme="minorHAnsi"/>
          <w:color w:val="auto"/>
          <w:sz w:val="20"/>
          <w:szCs w:val="20"/>
          <w:lang w:val="sr-Cyrl-RS"/>
        </w:rPr>
        <w:t>5.367.881,00</w:t>
      </w:r>
      <w:r w:rsidR="006B5569" w:rsidRPr="006B5569">
        <w:rPr>
          <w:rFonts w:asciiTheme="minorHAnsi" w:hAnsiTheme="minorHAnsi"/>
          <w:color w:val="auto"/>
          <w:sz w:val="20"/>
          <w:szCs w:val="20"/>
          <w:lang w:val="sr-Latn-CS"/>
        </w:rPr>
        <w:t xml:space="preserve"> КМ и нето вриједност </w:t>
      </w:r>
      <w:r w:rsidR="006B5569" w:rsidRPr="006B5569">
        <w:rPr>
          <w:rFonts w:asciiTheme="minorHAnsi" w:hAnsiTheme="minorHAnsi"/>
          <w:color w:val="auto"/>
          <w:sz w:val="20"/>
          <w:szCs w:val="20"/>
          <w:lang w:val="sr-Cyrl-RS"/>
        </w:rPr>
        <w:t>5.565.460,00 КМ.</w:t>
      </w:r>
      <w:r w:rsidR="006B5569" w:rsidRPr="006B5569">
        <w:rPr>
          <w:rFonts w:asciiTheme="minorHAnsi" w:hAnsiTheme="minorHAnsi"/>
          <w:color w:val="auto"/>
          <w:sz w:val="20"/>
          <w:szCs w:val="20"/>
          <w:lang w:val="sr-Latn-CS"/>
        </w:rPr>
        <w:t xml:space="preserve">  Наведени износи се односе на потраживања Фонда од Бобар банке а.д.-у </w:t>
      </w:r>
      <w:r w:rsidR="006B5569" w:rsidRPr="006B5569">
        <w:rPr>
          <w:rFonts w:asciiTheme="minorHAnsi" w:hAnsiTheme="minorHAnsi"/>
          <w:color w:val="auto"/>
          <w:sz w:val="20"/>
          <w:szCs w:val="20"/>
          <w:lang w:val="sr-Cyrl-RS"/>
        </w:rPr>
        <w:t>ликвидацији</w:t>
      </w:r>
      <w:r w:rsidR="006B5569" w:rsidRPr="006B5569">
        <w:rPr>
          <w:rFonts w:asciiTheme="minorHAnsi" w:hAnsiTheme="minorHAnsi"/>
          <w:color w:val="auto"/>
          <w:sz w:val="20"/>
          <w:szCs w:val="20"/>
          <w:lang w:val="sr-Latn-CS"/>
        </w:rPr>
        <w:t xml:space="preserve"> и Банке Српске а.д.-у стечају.</w:t>
      </w:r>
      <w:r w:rsidR="006B5569" w:rsidRPr="006B5569">
        <w:rPr>
          <w:rFonts w:asciiTheme="minorHAnsi" w:hAnsiTheme="minorHAnsi"/>
          <w:color w:val="auto"/>
          <w:sz w:val="20"/>
          <w:szCs w:val="20"/>
          <w:lang w:val="sr-Cyrl-RS"/>
        </w:rPr>
        <w:t xml:space="preserve"> </w:t>
      </w:r>
      <w:r w:rsidR="006B5569" w:rsidRPr="006B5569">
        <w:rPr>
          <w:rFonts w:asciiTheme="minorHAnsi" w:hAnsiTheme="minorHAnsi"/>
          <w:color w:val="auto"/>
          <w:sz w:val="20"/>
          <w:szCs w:val="20"/>
          <w:lang w:val="sr-Latn-CS"/>
        </w:rPr>
        <w:t>За потребе израде финансијских извјештаја за 202</w:t>
      </w:r>
      <w:r w:rsidR="006B5569" w:rsidRPr="006B5569">
        <w:rPr>
          <w:rFonts w:asciiTheme="minorHAnsi" w:hAnsiTheme="minorHAnsi"/>
          <w:color w:val="auto"/>
          <w:sz w:val="20"/>
          <w:szCs w:val="20"/>
          <w:lang w:val="sr-Cyrl-RS"/>
        </w:rPr>
        <w:t>4</w:t>
      </w:r>
      <w:r w:rsidR="006B5569" w:rsidRPr="006B5569">
        <w:rPr>
          <w:rFonts w:asciiTheme="minorHAnsi" w:hAnsiTheme="minorHAnsi"/>
          <w:color w:val="auto"/>
          <w:sz w:val="20"/>
          <w:szCs w:val="20"/>
          <w:lang w:val="sr-Latn-CS"/>
        </w:rPr>
        <w:t>.</w:t>
      </w:r>
      <w:r w:rsidR="006B5569" w:rsidRPr="006B5569">
        <w:rPr>
          <w:rFonts w:asciiTheme="minorHAnsi" w:hAnsiTheme="minorHAnsi"/>
          <w:color w:val="auto"/>
          <w:sz w:val="20"/>
          <w:szCs w:val="20"/>
          <w:lang w:val="sr-Cyrl-RS"/>
        </w:rPr>
        <w:t xml:space="preserve"> </w:t>
      </w:r>
      <w:r w:rsidR="006B5569" w:rsidRPr="006B5569">
        <w:rPr>
          <w:rFonts w:asciiTheme="minorHAnsi" w:hAnsiTheme="minorHAnsi"/>
          <w:color w:val="auto"/>
          <w:sz w:val="20"/>
          <w:szCs w:val="20"/>
          <w:lang w:val="sr-Latn-CS"/>
        </w:rPr>
        <w:t>годину ангажован је овлашћени процјењивач (консултант) који је извршио процјену потраживања од поменутих банака у стечају.</w:t>
      </w:r>
      <w:r w:rsidR="006B5569" w:rsidRPr="006B5569">
        <w:rPr>
          <w:rFonts w:asciiTheme="minorHAnsi" w:hAnsiTheme="minorHAnsi"/>
          <w:color w:val="auto"/>
          <w:sz w:val="20"/>
          <w:szCs w:val="20"/>
          <w:lang w:val="sr-Cyrl-RS"/>
        </w:rPr>
        <w:t xml:space="preserve"> </w:t>
      </w:r>
    </w:p>
    <w:p w:rsidR="006B5569" w:rsidRPr="004F03D0" w:rsidRDefault="006B5569" w:rsidP="004F03D0">
      <w:pPr>
        <w:pStyle w:val="ListParagraph"/>
        <w:tabs>
          <w:tab w:val="left" w:pos="1134"/>
        </w:tabs>
        <w:ind w:left="1134"/>
        <w:rPr>
          <w:rFonts w:asciiTheme="minorHAnsi" w:hAnsiTheme="minorHAnsi"/>
          <w:color w:val="auto"/>
          <w:sz w:val="20"/>
          <w:szCs w:val="20"/>
          <w:lang w:val="sr-Cyrl-CS" w:eastAsia="sr-Cyrl-CS"/>
        </w:rPr>
      </w:pPr>
      <w:r w:rsidRPr="0075475E">
        <w:rPr>
          <w:rFonts w:asciiTheme="minorHAnsi" w:hAnsiTheme="minorHAnsi"/>
          <w:color w:val="auto"/>
          <w:sz w:val="20"/>
          <w:szCs w:val="20"/>
          <w:lang w:val="sr-Latn-CS"/>
        </w:rPr>
        <w:t>Према процјени консултанта</w:t>
      </w:r>
      <w:r w:rsidRPr="0075475E">
        <w:rPr>
          <w:rFonts w:asciiTheme="minorHAnsi" w:hAnsiTheme="minorHAnsi"/>
          <w:color w:val="auto"/>
          <w:sz w:val="20"/>
          <w:szCs w:val="20"/>
          <w:lang w:val="sr-Cyrl-RS"/>
        </w:rPr>
        <w:t>,</w:t>
      </w:r>
      <w:r w:rsidRPr="0075475E">
        <w:rPr>
          <w:rFonts w:asciiTheme="minorHAnsi" w:hAnsiTheme="minorHAnsi"/>
          <w:color w:val="auto"/>
          <w:sz w:val="20"/>
          <w:szCs w:val="20"/>
          <w:lang w:val="sr-Latn-CS"/>
        </w:rPr>
        <w:t xml:space="preserve"> вриједност</w:t>
      </w:r>
      <w:r w:rsidRPr="0075475E">
        <w:rPr>
          <w:rFonts w:asciiTheme="minorHAnsi" w:hAnsiTheme="minorHAnsi"/>
          <w:color w:val="auto"/>
          <w:sz w:val="20"/>
          <w:szCs w:val="20"/>
          <w:lang w:val="sr-Cyrl-RS"/>
        </w:rPr>
        <w:t>и</w:t>
      </w:r>
      <w:r w:rsidRPr="0075475E">
        <w:rPr>
          <w:rFonts w:asciiTheme="minorHAnsi" w:hAnsiTheme="minorHAnsi"/>
          <w:color w:val="auto"/>
          <w:sz w:val="20"/>
          <w:szCs w:val="20"/>
          <w:lang w:val="sr-Latn-CS"/>
        </w:rPr>
        <w:t xml:space="preserve"> потраживањ</w:t>
      </w:r>
      <w:r w:rsidRPr="0075475E">
        <w:rPr>
          <w:rFonts w:asciiTheme="minorHAnsi" w:hAnsiTheme="minorHAnsi"/>
          <w:color w:val="auto"/>
          <w:sz w:val="20"/>
          <w:szCs w:val="20"/>
          <w:lang w:val="sr-Cyrl-BA"/>
        </w:rPr>
        <w:t>а</w:t>
      </w:r>
      <w:r w:rsidRPr="0075475E">
        <w:rPr>
          <w:rFonts w:asciiTheme="minorHAnsi" w:hAnsiTheme="minorHAnsi"/>
          <w:color w:val="auto"/>
          <w:sz w:val="20"/>
          <w:szCs w:val="20"/>
          <w:lang w:val="sr-Latn-CS"/>
        </w:rPr>
        <w:t xml:space="preserve"> која су била предмет процјене на дан </w:t>
      </w:r>
      <w:r w:rsidRPr="005D3925">
        <w:rPr>
          <w:rFonts w:asciiTheme="minorHAnsi" w:hAnsiTheme="minorHAnsi"/>
          <w:color w:val="auto"/>
          <w:sz w:val="20"/>
          <w:szCs w:val="20"/>
          <w:lang w:val="sr-Latn-CS"/>
        </w:rPr>
        <w:t>31.12.202</w:t>
      </w:r>
      <w:r>
        <w:rPr>
          <w:rFonts w:asciiTheme="minorHAnsi" w:hAnsiTheme="minorHAnsi"/>
          <w:color w:val="auto"/>
          <w:sz w:val="20"/>
          <w:szCs w:val="20"/>
          <w:lang w:val="sr-Cyrl-RS"/>
        </w:rPr>
        <w:t>4</w:t>
      </w:r>
      <w:r w:rsidRPr="005D3925">
        <w:rPr>
          <w:rFonts w:asciiTheme="minorHAnsi" w:hAnsiTheme="minorHAnsi"/>
          <w:color w:val="auto"/>
          <w:sz w:val="20"/>
          <w:szCs w:val="20"/>
          <w:lang w:val="sr-Latn-CS"/>
        </w:rPr>
        <w:t>.</w:t>
      </w:r>
      <w:r w:rsidRPr="005D3925">
        <w:rPr>
          <w:rFonts w:asciiTheme="minorHAnsi" w:hAnsiTheme="minorHAnsi"/>
          <w:color w:val="auto"/>
          <w:sz w:val="20"/>
          <w:szCs w:val="20"/>
          <w:lang w:val="sr-Cyrl-RS"/>
        </w:rPr>
        <w:t xml:space="preserve"> </w:t>
      </w:r>
      <w:r w:rsidRPr="005D3925">
        <w:rPr>
          <w:rFonts w:asciiTheme="minorHAnsi" w:hAnsiTheme="minorHAnsi"/>
          <w:color w:val="auto"/>
          <w:sz w:val="20"/>
          <w:szCs w:val="20"/>
          <w:lang w:val="sr-Latn-CS"/>
        </w:rPr>
        <w:t>године  износе:</w:t>
      </w:r>
    </w:p>
    <w:p w:rsidR="006B5569" w:rsidRPr="005D3925" w:rsidRDefault="006B5569" w:rsidP="004F03D0">
      <w:pPr>
        <w:pStyle w:val="ListParagraph"/>
        <w:tabs>
          <w:tab w:val="left" w:pos="1068"/>
        </w:tabs>
        <w:ind w:left="142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 xml:space="preserve">Бобар банка а.д.-у </w:t>
      </w:r>
      <w:r w:rsidRPr="005D3925">
        <w:rPr>
          <w:rFonts w:asciiTheme="minorHAnsi" w:hAnsiTheme="minorHAnsi"/>
          <w:color w:val="auto"/>
          <w:sz w:val="20"/>
          <w:szCs w:val="20"/>
          <w:lang w:val="sr-Cyrl-RS"/>
        </w:rPr>
        <w:t>ликвидацији</w:t>
      </w:r>
    </w:p>
    <w:p w:rsidR="006B5569" w:rsidRPr="005D3925" w:rsidRDefault="006B5569" w:rsidP="006B5569">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бруто износ</w:t>
      </w:r>
      <w:r w:rsidRPr="005D3925">
        <w:rPr>
          <w:rFonts w:asciiTheme="minorHAnsi" w:hAnsiTheme="minorHAnsi"/>
          <w:color w:val="auto"/>
          <w:sz w:val="20"/>
          <w:szCs w:val="20"/>
          <w:lang w:val="sr-Latn-CS"/>
        </w:rPr>
        <w:tab/>
        <w:t>7.438.393</w:t>
      </w:r>
      <w:r w:rsidRPr="005D3925">
        <w:rPr>
          <w:rFonts w:asciiTheme="minorHAnsi" w:hAnsiTheme="minorHAnsi"/>
          <w:color w:val="auto"/>
          <w:sz w:val="20"/>
          <w:szCs w:val="20"/>
          <w:lang w:val="sr-Cyrl-RS"/>
        </w:rPr>
        <w:t>,28</w:t>
      </w:r>
      <w:r w:rsidRPr="005D3925">
        <w:rPr>
          <w:rFonts w:asciiTheme="minorHAnsi" w:hAnsiTheme="minorHAnsi"/>
          <w:color w:val="auto"/>
          <w:sz w:val="20"/>
          <w:szCs w:val="20"/>
          <w:lang w:val="sr-Latn-CS"/>
        </w:rPr>
        <w:t xml:space="preserve"> КМ</w:t>
      </w:r>
    </w:p>
    <w:p w:rsidR="006B5569" w:rsidRPr="005D3925" w:rsidRDefault="006B5569" w:rsidP="006B5569">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исправка вриједности</w:t>
      </w:r>
      <w:r w:rsidRPr="005D3925">
        <w:rPr>
          <w:rFonts w:asciiTheme="minorHAnsi" w:hAnsiTheme="minorHAnsi"/>
          <w:color w:val="auto"/>
          <w:sz w:val="20"/>
          <w:szCs w:val="20"/>
          <w:lang w:val="sr-Latn-CS"/>
        </w:rPr>
        <w:tab/>
      </w:r>
      <w:r>
        <w:rPr>
          <w:rFonts w:asciiTheme="minorHAnsi" w:hAnsiTheme="minorHAnsi"/>
          <w:color w:val="auto"/>
          <w:sz w:val="20"/>
          <w:szCs w:val="20"/>
          <w:lang w:val="sr-Cyrl-RS"/>
        </w:rPr>
        <w:t>3.927.520,85</w:t>
      </w:r>
      <w:r w:rsidRPr="005D3925">
        <w:rPr>
          <w:rFonts w:asciiTheme="minorHAnsi" w:hAnsiTheme="minorHAnsi"/>
          <w:color w:val="auto"/>
          <w:sz w:val="20"/>
          <w:szCs w:val="20"/>
          <w:lang w:val="sr-Cyrl-RS"/>
        </w:rPr>
        <w:t xml:space="preserve"> КМ</w:t>
      </w:r>
    </w:p>
    <w:p w:rsidR="006B5569" w:rsidRPr="00F6210D" w:rsidRDefault="006B5569" w:rsidP="006B5569">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нето вриједност</w:t>
      </w:r>
      <w:r w:rsidRPr="005D3925">
        <w:rPr>
          <w:rFonts w:asciiTheme="minorHAnsi" w:hAnsiTheme="minorHAnsi"/>
          <w:color w:val="auto"/>
          <w:sz w:val="20"/>
          <w:szCs w:val="20"/>
          <w:lang w:val="sr-Latn-CS"/>
        </w:rPr>
        <w:tab/>
      </w:r>
      <w:r w:rsidRPr="005D3925">
        <w:rPr>
          <w:rFonts w:asciiTheme="minorHAnsi" w:hAnsiTheme="minorHAnsi"/>
          <w:color w:val="auto"/>
          <w:sz w:val="20"/>
          <w:szCs w:val="20"/>
          <w:lang w:val="sr-Cyrl-RS"/>
        </w:rPr>
        <w:t>3.</w:t>
      </w:r>
      <w:r>
        <w:rPr>
          <w:rFonts w:asciiTheme="minorHAnsi" w:hAnsiTheme="minorHAnsi"/>
          <w:color w:val="auto"/>
          <w:sz w:val="20"/>
          <w:szCs w:val="20"/>
          <w:lang w:val="sr-Cyrl-RS"/>
        </w:rPr>
        <w:t>510.872,43</w:t>
      </w:r>
      <w:r w:rsidRPr="005D3925">
        <w:rPr>
          <w:rFonts w:asciiTheme="minorHAnsi" w:hAnsiTheme="minorHAnsi"/>
          <w:color w:val="auto"/>
          <w:sz w:val="20"/>
          <w:szCs w:val="20"/>
          <w:lang w:val="sr-Cyrl-RS"/>
        </w:rPr>
        <w:t xml:space="preserve"> КМ</w:t>
      </w:r>
    </w:p>
    <w:p w:rsidR="006B5569" w:rsidRPr="005D3925" w:rsidRDefault="006B5569" w:rsidP="006B5569">
      <w:pPr>
        <w:pStyle w:val="ListParagraph"/>
        <w:tabs>
          <w:tab w:val="right" w:leader="dot" w:pos="6804"/>
        </w:tabs>
        <w:ind w:left="1418" w:right="-142"/>
        <w:rPr>
          <w:rFonts w:asciiTheme="minorHAnsi" w:hAnsiTheme="minorHAnsi"/>
          <w:color w:val="auto"/>
          <w:sz w:val="20"/>
          <w:szCs w:val="20"/>
          <w:lang w:val="sr-Latn-CS"/>
        </w:rPr>
      </w:pPr>
    </w:p>
    <w:p w:rsidR="006B5569" w:rsidRDefault="006B5569" w:rsidP="004F03D0">
      <w:pPr>
        <w:tabs>
          <w:tab w:val="right" w:leader="dot" w:pos="6804"/>
        </w:tabs>
        <w:ind w:left="1058" w:right="-142"/>
        <w:rPr>
          <w:rFonts w:asciiTheme="minorHAnsi" w:hAnsiTheme="minorHAnsi"/>
          <w:color w:val="auto"/>
          <w:sz w:val="20"/>
          <w:szCs w:val="20"/>
          <w:lang w:val="sr-Cyrl-RS"/>
        </w:rPr>
      </w:pPr>
      <w:r>
        <w:rPr>
          <w:rFonts w:asciiTheme="minorHAnsi" w:hAnsiTheme="minorHAnsi"/>
          <w:color w:val="auto"/>
          <w:sz w:val="20"/>
          <w:szCs w:val="20"/>
          <w:lang w:val="sr-Cyrl-RS"/>
        </w:rPr>
        <w:tab/>
      </w:r>
      <w:r w:rsidRPr="005D3925">
        <w:rPr>
          <w:rFonts w:asciiTheme="minorHAnsi" w:hAnsiTheme="minorHAnsi"/>
          <w:color w:val="auto"/>
          <w:sz w:val="20"/>
          <w:szCs w:val="20"/>
          <w:lang w:val="sr-Cyrl-RS"/>
        </w:rPr>
        <w:t>У односу на 202</w:t>
      </w:r>
      <w:r>
        <w:rPr>
          <w:rFonts w:asciiTheme="minorHAnsi" w:hAnsiTheme="minorHAnsi"/>
          <w:color w:val="auto"/>
          <w:sz w:val="20"/>
          <w:szCs w:val="20"/>
          <w:lang w:val="sr-Cyrl-RS"/>
        </w:rPr>
        <w:t>3</w:t>
      </w:r>
      <w:r w:rsidRPr="005D3925">
        <w:rPr>
          <w:rFonts w:asciiTheme="minorHAnsi" w:hAnsiTheme="minorHAnsi"/>
          <w:color w:val="auto"/>
          <w:sz w:val="20"/>
          <w:szCs w:val="20"/>
          <w:lang w:val="sr-Cyrl-RS"/>
        </w:rPr>
        <w:t xml:space="preserve">. годину, процијењена вриједност потраживања од Бобар банке а.д.-у </w:t>
      </w:r>
      <w:r>
        <w:rPr>
          <w:rFonts w:asciiTheme="minorHAnsi" w:hAnsiTheme="minorHAnsi"/>
          <w:color w:val="auto"/>
          <w:sz w:val="20"/>
          <w:szCs w:val="20"/>
          <w:lang w:val="sr-Cyrl-RS"/>
        </w:rPr>
        <w:t xml:space="preserve">      </w:t>
      </w:r>
      <w:r w:rsidRPr="005D3925">
        <w:rPr>
          <w:rFonts w:asciiTheme="minorHAnsi" w:hAnsiTheme="minorHAnsi"/>
          <w:color w:val="auto"/>
          <w:sz w:val="20"/>
          <w:szCs w:val="20"/>
          <w:lang w:val="sr-Cyrl-RS"/>
        </w:rPr>
        <w:t xml:space="preserve">ликвидацији је мања за </w:t>
      </w:r>
      <w:r>
        <w:rPr>
          <w:rFonts w:asciiTheme="minorHAnsi" w:hAnsiTheme="minorHAnsi"/>
          <w:color w:val="auto"/>
          <w:sz w:val="20"/>
          <w:szCs w:val="20"/>
          <w:lang w:val="sr-Cyrl-RS"/>
        </w:rPr>
        <w:t>178.723,98</w:t>
      </w:r>
      <w:r w:rsidRPr="005D3925">
        <w:rPr>
          <w:rFonts w:asciiTheme="minorHAnsi" w:hAnsiTheme="minorHAnsi"/>
          <w:color w:val="auto"/>
          <w:sz w:val="20"/>
          <w:szCs w:val="20"/>
          <w:lang w:val="sr-Cyrl-RS"/>
        </w:rPr>
        <w:t xml:space="preserve"> КМ и на дан 31.12.202</w:t>
      </w:r>
      <w:r>
        <w:rPr>
          <w:rFonts w:asciiTheme="minorHAnsi" w:hAnsiTheme="minorHAnsi"/>
          <w:color w:val="auto"/>
          <w:sz w:val="20"/>
          <w:szCs w:val="20"/>
          <w:lang w:val="sr-Cyrl-RS"/>
        </w:rPr>
        <w:t>4</w:t>
      </w:r>
      <w:r w:rsidRPr="005D3925">
        <w:rPr>
          <w:rFonts w:asciiTheme="minorHAnsi" w:hAnsiTheme="minorHAnsi"/>
          <w:color w:val="auto"/>
          <w:sz w:val="20"/>
          <w:szCs w:val="20"/>
          <w:lang w:val="sr-Cyrl-RS"/>
        </w:rPr>
        <w:t>. године износи 3.</w:t>
      </w:r>
      <w:r>
        <w:rPr>
          <w:rFonts w:asciiTheme="minorHAnsi" w:hAnsiTheme="minorHAnsi"/>
          <w:color w:val="auto"/>
          <w:sz w:val="20"/>
          <w:szCs w:val="20"/>
          <w:lang w:val="sr-Cyrl-RS"/>
        </w:rPr>
        <w:t>510.872,43</w:t>
      </w:r>
      <w:r w:rsidRPr="005D3925">
        <w:rPr>
          <w:rFonts w:asciiTheme="minorHAnsi" w:hAnsiTheme="minorHAnsi"/>
          <w:color w:val="auto"/>
          <w:sz w:val="20"/>
          <w:szCs w:val="20"/>
          <w:lang w:val="sr-Cyrl-RS"/>
        </w:rPr>
        <w:t xml:space="preserve"> КМ.</w:t>
      </w:r>
      <w:r>
        <w:rPr>
          <w:rFonts w:asciiTheme="minorHAnsi" w:hAnsiTheme="minorHAnsi"/>
          <w:color w:val="auto"/>
          <w:sz w:val="20"/>
          <w:szCs w:val="20"/>
          <w:lang w:val="sr-Cyrl-RS"/>
        </w:rPr>
        <w:t xml:space="preserve"> </w:t>
      </w:r>
    </w:p>
    <w:p w:rsidR="006B5569" w:rsidRPr="005D3925" w:rsidRDefault="006B5569" w:rsidP="006B5569">
      <w:pPr>
        <w:tabs>
          <w:tab w:val="right" w:leader="dot" w:pos="6804"/>
        </w:tabs>
        <w:ind w:right="-142"/>
        <w:rPr>
          <w:rFonts w:asciiTheme="minorHAnsi" w:hAnsiTheme="minorHAnsi"/>
          <w:color w:val="auto"/>
          <w:sz w:val="20"/>
          <w:szCs w:val="20"/>
          <w:lang w:val="sr-Cyrl-RS"/>
        </w:rPr>
      </w:pPr>
    </w:p>
    <w:p w:rsidR="006B5569" w:rsidRPr="005D3925" w:rsidRDefault="006B5569" w:rsidP="004F03D0">
      <w:pPr>
        <w:pStyle w:val="ListParagraph"/>
        <w:tabs>
          <w:tab w:val="left" w:pos="1134"/>
        </w:tabs>
        <w:ind w:left="142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Банка Српске а.д.-у стечају</w:t>
      </w:r>
    </w:p>
    <w:p w:rsidR="006B5569" w:rsidRPr="005D3925" w:rsidRDefault="006B5569" w:rsidP="006B5569">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бруто износ</w:t>
      </w:r>
      <w:r w:rsidRPr="005D3925">
        <w:rPr>
          <w:rFonts w:asciiTheme="minorHAnsi" w:hAnsiTheme="minorHAnsi"/>
          <w:color w:val="auto"/>
          <w:sz w:val="20"/>
          <w:szCs w:val="20"/>
          <w:lang w:val="sr-Latn-CS"/>
        </w:rPr>
        <w:tab/>
        <w:t>3.</w:t>
      </w:r>
      <w:r>
        <w:rPr>
          <w:rFonts w:asciiTheme="minorHAnsi" w:hAnsiTheme="minorHAnsi"/>
          <w:color w:val="auto"/>
          <w:sz w:val="20"/>
          <w:szCs w:val="20"/>
          <w:lang w:val="sr-Cyrl-RS"/>
        </w:rPr>
        <w:t>494.948,05</w:t>
      </w:r>
      <w:r w:rsidRPr="005D3925">
        <w:rPr>
          <w:rFonts w:asciiTheme="minorHAnsi" w:hAnsiTheme="minorHAnsi"/>
          <w:color w:val="auto"/>
          <w:sz w:val="20"/>
          <w:szCs w:val="20"/>
          <w:lang w:val="sr-Latn-CS"/>
        </w:rPr>
        <w:t>КМ</w:t>
      </w:r>
    </w:p>
    <w:p w:rsidR="006B5569" w:rsidRPr="005D3925" w:rsidRDefault="006B5569" w:rsidP="006B5569">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исправка вриједности</w:t>
      </w:r>
      <w:r w:rsidRPr="005D3925">
        <w:rPr>
          <w:rFonts w:asciiTheme="minorHAnsi" w:hAnsiTheme="minorHAnsi"/>
          <w:color w:val="auto"/>
          <w:sz w:val="20"/>
          <w:szCs w:val="20"/>
          <w:lang w:val="sr-Latn-CS"/>
        </w:rPr>
        <w:tab/>
      </w:r>
      <w:r>
        <w:rPr>
          <w:rFonts w:asciiTheme="minorHAnsi" w:hAnsiTheme="minorHAnsi"/>
          <w:color w:val="auto"/>
          <w:sz w:val="20"/>
          <w:szCs w:val="20"/>
          <w:lang w:val="sr-Cyrl-RS"/>
        </w:rPr>
        <w:t>1.440.359,92 КМ</w:t>
      </w:r>
    </w:p>
    <w:p w:rsidR="006B5569" w:rsidRPr="00F6210D" w:rsidRDefault="006B5569" w:rsidP="006B5569">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нето вриједност</w:t>
      </w:r>
      <w:r w:rsidRPr="005D3925">
        <w:rPr>
          <w:rFonts w:asciiTheme="minorHAnsi" w:hAnsiTheme="minorHAnsi"/>
          <w:color w:val="auto"/>
          <w:sz w:val="20"/>
          <w:szCs w:val="20"/>
          <w:lang w:val="sr-Latn-CS"/>
        </w:rPr>
        <w:tab/>
      </w:r>
      <w:r w:rsidRPr="005D3925">
        <w:rPr>
          <w:rFonts w:asciiTheme="minorHAnsi" w:hAnsiTheme="minorHAnsi"/>
          <w:color w:val="auto"/>
          <w:sz w:val="20"/>
          <w:szCs w:val="20"/>
          <w:lang w:val="sr-Cyrl-RS"/>
        </w:rPr>
        <w:t>2.</w:t>
      </w:r>
      <w:r>
        <w:rPr>
          <w:rFonts w:asciiTheme="minorHAnsi" w:hAnsiTheme="minorHAnsi"/>
          <w:color w:val="auto"/>
          <w:sz w:val="20"/>
          <w:szCs w:val="20"/>
          <w:lang w:val="sr-Cyrl-RS"/>
        </w:rPr>
        <w:t>054.588,13</w:t>
      </w:r>
      <w:r w:rsidRPr="005D3925">
        <w:rPr>
          <w:rFonts w:asciiTheme="minorHAnsi" w:hAnsiTheme="minorHAnsi"/>
          <w:color w:val="auto"/>
          <w:sz w:val="20"/>
          <w:szCs w:val="20"/>
          <w:lang w:val="sr-Latn-CS"/>
        </w:rPr>
        <w:t xml:space="preserve"> КМ</w:t>
      </w:r>
      <w:r w:rsidRPr="005D3925">
        <w:rPr>
          <w:rFonts w:asciiTheme="minorHAnsi" w:hAnsiTheme="minorHAnsi"/>
          <w:color w:val="auto"/>
          <w:sz w:val="20"/>
          <w:szCs w:val="20"/>
          <w:lang w:val="sr-Cyrl-RS"/>
        </w:rPr>
        <w:t xml:space="preserve"> </w:t>
      </w:r>
    </w:p>
    <w:p w:rsidR="006B5569" w:rsidRPr="005D3925" w:rsidRDefault="006B5569" w:rsidP="006B5569">
      <w:pPr>
        <w:pStyle w:val="ListParagraph"/>
        <w:tabs>
          <w:tab w:val="right" w:leader="dot" w:pos="6804"/>
        </w:tabs>
        <w:ind w:left="1418" w:right="-142"/>
        <w:rPr>
          <w:rFonts w:asciiTheme="minorHAnsi" w:hAnsiTheme="minorHAnsi"/>
          <w:color w:val="auto"/>
          <w:sz w:val="20"/>
          <w:szCs w:val="20"/>
          <w:lang w:val="sr-Latn-CS"/>
        </w:rPr>
      </w:pPr>
    </w:p>
    <w:p w:rsidR="006B5569" w:rsidRDefault="006B5569" w:rsidP="004F03D0">
      <w:pPr>
        <w:ind w:left="1058" w:firstLine="10"/>
        <w:rPr>
          <w:rFonts w:asciiTheme="minorHAnsi" w:hAnsiTheme="minorHAnsi"/>
          <w:color w:val="auto"/>
          <w:sz w:val="20"/>
          <w:szCs w:val="20"/>
          <w:lang w:val="sr-Cyrl-RS"/>
        </w:rPr>
      </w:pPr>
      <w:r w:rsidRPr="005D3925">
        <w:rPr>
          <w:rFonts w:asciiTheme="minorHAnsi" w:hAnsiTheme="minorHAnsi"/>
          <w:color w:val="auto"/>
          <w:sz w:val="20"/>
          <w:szCs w:val="20"/>
          <w:lang w:val="sr-Cyrl-RS"/>
        </w:rPr>
        <w:t>У односу на 202</w:t>
      </w:r>
      <w:r>
        <w:rPr>
          <w:rFonts w:asciiTheme="minorHAnsi" w:hAnsiTheme="minorHAnsi"/>
          <w:color w:val="auto"/>
          <w:sz w:val="20"/>
          <w:szCs w:val="20"/>
          <w:lang w:val="sr-Cyrl-RS"/>
        </w:rPr>
        <w:t>3</w:t>
      </w:r>
      <w:r w:rsidRPr="005D3925">
        <w:rPr>
          <w:rFonts w:asciiTheme="minorHAnsi" w:hAnsiTheme="minorHAnsi"/>
          <w:color w:val="auto"/>
          <w:sz w:val="20"/>
          <w:szCs w:val="20"/>
          <w:lang w:val="sr-Cyrl-RS"/>
        </w:rPr>
        <w:t>. годину, процијењена вриједност потраживања од Б</w:t>
      </w:r>
      <w:r>
        <w:rPr>
          <w:rFonts w:asciiTheme="minorHAnsi" w:hAnsiTheme="minorHAnsi"/>
          <w:color w:val="auto"/>
          <w:sz w:val="20"/>
          <w:szCs w:val="20"/>
          <w:lang w:val="sr-Cyrl-RS"/>
        </w:rPr>
        <w:t xml:space="preserve">анке Српске а.д.-у </w:t>
      </w:r>
      <w:r w:rsidR="004F03D0">
        <w:rPr>
          <w:rFonts w:asciiTheme="minorHAnsi" w:hAnsiTheme="minorHAnsi"/>
          <w:color w:val="auto"/>
          <w:sz w:val="20"/>
          <w:szCs w:val="20"/>
          <w:lang w:val="sr-Cyrl-RS"/>
        </w:rPr>
        <w:t xml:space="preserve">     </w:t>
      </w:r>
      <w:r>
        <w:rPr>
          <w:rFonts w:asciiTheme="minorHAnsi" w:hAnsiTheme="minorHAnsi"/>
          <w:color w:val="auto"/>
          <w:sz w:val="20"/>
          <w:szCs w:val="20"/>
          <w:lang w:val="sr-Cyrl-RS"/>
        </w:rPr>
        <w:t>стечају</w:t>
      </w:r>
      <w:r w:rsidRPr="005D3925">
        <w:rPr>
          <w:rFonts w:asciiTheme="minorHAnsi" w:hAnsiTheme="minorHAnsi"/>
          <w:color w:val="auto"/>
          <w:sz w:val="20"/>
          <w:szCs w:val="20"/>
          <w:lang w:val="sr-Cyrl-RS"/>
        </w:rPr>
        <w:t xml:space="preserve"> је </w:t>
      </w:r>
      <w:r w:rsidRPr="006A5837">
        <w:rPr>
          <w:rFonts w:asciiTheme="minorHAnsi" w:hAnsiTheme="minorHAnsi"/>
          <w:color w:val="000000" w:themeColor="text1"/>
          <w:sz w:val="20"/>
          <w:szCs w:val="20"/>
          <w:lang w:val="sr-Cyrl-RS"/>
        </w:rPr>
        <w:t xml:space="preserve">већа за 13.356,15 КМ и на дан 31.12.2024. године износи 2.054.588,13 КМ. </w:t>
      </w:r>
    </w:p>
    <w:p w:rsidR="006B5569" w:rsidRDefault="006B5569" w:rsidP="006B5569">
      <w:pPr>
        <w:rPr>
          <w:rFonts w:asciiTheme="minorHAnsi" w:hAnsiTheme="minorHAnsi"/>
          <w:color w:val="auto"/>
          <w:sz w:val="20"/>
          <w:szCs w:val="20"/>
          <w:lang w:val="sr-Cyrl-RS"/>
        </w:rPr>
      </w:pPr>
    </w:p>
    <w:p w:rsidR="006B5569" w:rsidRDefault="004F03D0" w:rsidP="004F03D0">
      <w:pPr>
        <w:ind w:left="993" w:hanging="285"/>
        <w:rPr>
          <w:rFonts w:asciiTheme="minorHAnsi" w:hAnsiTheme="minorHAnsi"/>
          <w:color w:val="auto"/>
          <w:sz w:val="20"/>
          <w:szCs w:val="20"/>
          <w:lang w:val="sr-Cyrl-RS"/>
        </w:rPr>
      </w:pPr>
      <w:r>
        <w:rPr>
          <w:rFonts w:asciiTheme="minorHAnsi" w:hAnsiTheme="minorHAnsi"/>
          <w:color w:val="auto"/>
          <w:sz w:val="20"/>
          <w:szCs w:val="20"/>
          <w:lang w:val="sr-Cyrl-RS"/>
        </w:rPr>
        <w:t xml:space="preserve">        </w:t>
      </w:r>
      <w:r w:rsidR="006B5569" w:rsidRPr="00EA7186">
        <w:rPr>
          <w:rFonts w:asciiTheme="minorHAnsi" w:hAnsiTheme="minorHAnsi"/>
          <w:color w:val="auto"/>
          <w:sz w:val="20"/>
          <w:szCs w:val="20"/>
          <w:lang w:val="sr-Latn-CS"/>
        </w:rPr>
        <w:t>У књиговодственој евиденцији су спроведена одговарајућа књижења у циљу усклађивања књиговодствене с процјењеном вриједности потраживања од наведених банака које су у стечајном</w:t>
      </w:r>
      <w:r w:rsidR="006B5569">
        <w:rPr>
          <w:rFonts w:asciiTheme="minorHAnsi" w:hAnsiTheme="minorHAnsi"/>
          <w:color w:val="auto"/>
          <w:sz w:val="20"/>
          <w:szCs w:val="20"/>
          <w:lang w:val="sr-Cyrl-RS"/>
        </w:rPr>
        <w:t xml:space="preserve">, односно ликвидационом </w:t>
      </w:r>
      <w:r w:rsidR="006B5569" w:rsidRPr="00EA7186">
        <w:rPr>
          <w:rFonts w:asciiTheme="minorHAnsi" w:hAnsiTheme="minorHAnsi"/>
          <w:color w:val="auto"/>
          <w:sz w:val="20"/>
          <w:szCs w:val="20"/>
          <w:lang w:val="sr-Latn-CS"/>
        </w:rPr>
        <w:t>поступку на дан билансирања.</w:t>
      </w:r>
      <w:r w:rsidR="006B5569" w:rsidRPr="00A21B44">
        <w:rPr>
          <w:rFonts w:asciiTheme="minorHAnsi" w:hAnsiTheme="minorHAnsi"/>
          <w:color w:val="000000" w:themeColor="text1"/>
          <w:sz w:val="20"/>
          <w:szCs w:val="20"/>
          <w:lang w:val="sr-Cyrl-RS"/>
        </w:rPr>
        <w:t xml:space="preserve"> </w:t>
      </w:r>
      <w:r w:rsidR="006B5569" w:rsidRPr="006A5837">
        <w:rPr>
          <w:rFonts w:asciiTheme="minorHAnsi" w:hAnsiTheme="minorHAnsi"/>
          <w:color w:val="000000" w:themeColor="text1"/>
          <w:sz w:val="20"/>
          <w:szCs w:val="20"/>
          <w:lang w:val="sr-Cyrl-RS"/>
        </w:rPr>
        <w:t>Укупна процијењена вриједност потраживања по оба основа је мања за 165.367,83 КМ у односу на 2023. годину, те су за наведени износ коригована бруто потраживањ</w:t>
      </w:r>
      <w:r w:rsidR="00245346">
        <w:rPr>
          <w:rFonts w:asciiTheme="minorHAnsi" w:hAnsiTheme="minorHAnsi"/>
          <w:color w:val="000000" w:themeColor="text1"/>
          <w:sz w:val="20"/>
          <w:szCs w:val="20"/>
          <w:lang w:val="sr-Cyrl-RS"/>
        </w:rPr>
        <w:t>а Фонда од двије наведене банке.</w:t>
      </w:r>
    </w:p>
    <w:p w:rsidR="006B5569" w:rsidRDefault="006B5569" w:rsidP="006B5569">
      <w:pPr>
        <w:rPr>
          <w:rFonts w:asciiTheme="minorHAnsi" w:hAnsiTheme="minorHAnsi"/>
          <w:color w:val="auto"/>
          <w:sz w:val="20"/>
          <w:szCs w:val="20"/>
          <w:lang w:val="sr-Cyrl-RS"/>
        </w:rPr>
      </w:pPr>
    </w:p>
    <w:p w:rsidR="004F03D0" w:rsidRPr="00F6210D" w:rsidRDefault="004F03D0" w:rsidP="006B5569">
      <w:pPr>
        <w:rPr>
          <w:rFonts w:asciiTheme="minorHAnsi" w:hAnsiTheme="minorHAnsi"/>
          <w:color w:val="auto"/>
          <w:sz w:val="20"/>
          <w:szCs w:val="20"/>
          <w:lang w:val="sr-Cyrl-RS"/>
        </w:rPr>
      </w:pPr>
    </w:p>
    <w:p w:rsidR="006B5569" w:rsidRPr="006B5569" w:rsidRDefault="004F03D0" w:rsidP="004F03D0">
      <w:pPr>
        <w:pStyle w:val="ListParagraph"/>
        <w:ind w:left="1134"/>
        <w:rPr>
          <w:rFonts w:asciiTheme="minorHAnsi" w:hAnsiTheme="minorHAnsi"/>
          <w:color w:val="auto"/>
          <w:sz w:val="20"/>
          <w:szCs w:val="20"/>
          <w:lang w:val="sr-Cyrl-RS"/>
        </w:rPr>
      </w:pPr>
      <w:r w:rsidRPr="004F03D0">
        <w:rPr>
          <w:rFonts w:asciiTheme="minorHAnsi" w:hAnsiTheme="minorHAnsi"/>
          <w:b/>
          <w:i/>
          <w:color w:val="auto"/>
          <w:sz w:val="20"/>
          <w:szCs w:val="20"/>
          <w:lang w:val="sr-Cyrl-CS" w:eastAsia="sr-Cyrl-CS"/>
        </w:rPr>
        <w:t>2.</w:t>
      </w:r>
      <w:r>
        <w:rPr>
          <w:rFonts w:asciiTheme="minorHAnsi" w:hAnsiTheme="minorHAnsi"/>
          <w:i/>
          <w:color w:val="auto"/>
          <w:sz w:val="20"/>
          <w:szCs w:val="20"/>
          <w:lang w:val="sr-Cyrl-CS" w:eastAsia="sr-Cyrl-CS"/>
        </w:rPr>
        <w:t xml:space="preserve"> </w:t>
      </w:r>
      <w:r w:rsidR="006B5569" w:rsidRPr="004F03D0">
        <w:rPr>
          <w:rFonts w:asciiTheme="minorHAnsi" w:hAnsiTheme="minorHAnsi"/>
          <w:i/>
          <w:color w:val="auto"/>
          <w:sz w:val="20"/>
          <w:szCs w:val="20"/>
          <w:lang w:val="sr-Cyrl-CS" w:eastAsia="sr-Cyrl-CS"/>
        </w:rPr>
        <w:t>пласмани за извршена плаћања по протестованим гаранцијама</w:t>
      </w:r>
      <w:r w:rsidR="006B5569">
        <w:rPr>
          <w:rFonts w:asciiTheme="minorHAnsi" w:hAnsiTheme="minorHAnsi"/>
          <w:color w:val="auto"/>
          <w:sz w:val="20"/>
          <w:szCs w:val="20"/>
          <w:lang w:val="sr-Cyrl-CS" w:eastAsia="sr-Cyrl-CS"/>
        </w:rPr>
        <w:t xml:space="preserve"> у износу од 2.447.579,11 КМ</w:t>
      </w:r>
      <w:r w:rsidR="006B5569" w:rsidRPr="006B5569">
        <w:rPr>
          <w:rFonts w:asciiTheme="minorHAnsi" w:hAnsiTheme="minorHAnsi"/>
          <w:color w:val="auto"/>
          <w:sz w:val="20"/>
          <w:szCs w:val="20"/>
          <w:lang w:val="sr-Cyrl-RS"/>
        </w:rPr>
        <w:t xml:space="preserve"> са исправком вриједности,</w:t>
      </w:r>
      <w:r w:rsidR="006B5569" w:rsidRPr="006B5569">
        <w:rPr>
          <w:rFonts w:asciiTheme="minorHAnsi" w:hAnsiTheme="minorHAnsi"/>
          <w:color w:val="auto"/>
          <w:sz w:val="20"/>
          <w:szCs w:val="20"/>
          <w:lang w:val="sr-Latn-RS"/>
        </w:rPr>
        <w:t xml:space="preserve"> </w:t>
      </w:r>
      <w:r w:rsidR="006B5569" w:rsidRPr="006B5569">
        <w:rPr>
          <w:rFonts w:asciiTheme="minorHAnsi" w:hAnsiTheme="minorHAnsi"/>
          <w:color w:val="auto"/>
          <w:sz w:val="20"/>
          <w:szCs w:val="20"/>
          <w:lang w:val="sr-Cyrl-RS"/>
        </w:rPr>
        <w:t xml:space="preserve">од чега се 2.260.977,59 КМ односи на гаранције плаћене у 2024. години, а преостали дио на гаранције плаћене током ранијих година, гдје још нису завршени поступци регресне наплате. Током 2024. године је плаћена гаранција за клијента Мане комерц д.о.о. у износу од </w:t>
      </w:r>
      <w:r w:rsidR="006B5569" w:rsidRPr="006B5569">
        <w:rPr>
          <w:rFonts w:asciiTheme="minorHAnsi" w:hAnsiTheme="minorHAnsi"/>
          <w:color w:val="auto"/>
          <w:sz w:val="20"/>
          <w:szCs w:val="20"/>
          <w:lang w:val="sr-Latn-RS"/>
        </w:rPr>
        <w:t>1.4</w:t>
      </w:r>
      <w:r w:rsidR="006B5569" w:rsidRPr="006B5569">
        <w:rPr>
          <w:rFonts w:asciiTheme="minorHAnsi" w:hAnsiTheme="minorHAnsi"/>
          <w:color w:val="auto"/>
          <w:sz w:val="20"/>
          <w:szCs w:val="20"/>
          <w:lang w:val="sr-Cyrl-RS"/>
        </w:rPr>
        <w:t>85</w:t>
      </w:r>
      <w:r w:rsidR="006B5569" w:rsidRPr="006B5569">
        <w:rPr>
          <w:rFonts w:asciiTheme="minorHAnsi" w:hAnsiTheme="minorHAnsi"/>
          <w:color w:val="auto"/>
          <w:sz w:val="20"/>
          <w:szCs w:val="20"/>
          <w:lang w:val="sr-Latn-RS"/>
        </w:rPr>
        <w:t>.962,50 KM</w:t>
      </w:r>
      <w:r w:rsidR="006B5569" w:rsidRPr="006B5569">
        <w:rPr>
          <w:rFonts w:asciiTheme="minorHAnsi" w:hAnsiTheme="minorHAnsi"/>
          <w:color w:val="auto"/>
          <w:sz w:val="20"/>
          <w:szCs w:val="20"/>
          <w:lang w:val="sr-Cyrl-RS"/>
        </w:rPr>
        <w:t xml:space="preserve"> и за клијента Пилепром д.о.о. у износу од </w:t>
      </w:r>
      <w:r w:rsidR="006B5569" w:rsidRPr="006B5569">
        <w:rPr>
          <w:rFonts w:asciiTheme="minorHAnsi" w:hAnsiTheme="minorHAnsi"/>
          <w:color w:val="auto"/>
          <w:sz w:val="20"/>
          <w:szCs w:val="20"/>
          <w:lang w:val="sr-Latn-RS"/>
        </w:rPr>
        <w:t>502.772</w:t>
      </w:r>
      <w:r w:rsidR="006B5569" w:rsidRPr="006B5569">
        <w:rPr>
          <w:rFonts w:asciiTheme="minorHAnsi" w:hAnsiTheme="minorHAnsi"/>
          <w:color w:val="auto"/>
          <w:sz w:val="20"/>
          <w:szCs w:val="20"/>
          <w:lang w:val="sr-Cyrl-RS"/>
        </w:rPr>
        <w:t>,02</w:t>
      </w:r>
      <w:r w:rsidR="006B5569" w:rsidRPr="006B5569">
        <w:rPr>
          <w:rFonts w:asciiTheme="minorHAnsi" w:hAnsiTheme="minorHAnsi"/>
          <w:color w:val="auto"/>
          <w:sz w:val="20"/>
          <w:szCs w:val="20"/>
          <w:lang w:val="sr-Latn-RS"/>
        </w:rPr>
        <w:t xml:space="preserve"> KM</w:t>
      </w:r>
      <w:r w:rsidR="006B5569" w:rsidRPr="006B5569">
        <w:rPr>
          <w:rFonts w:asciiTheme="minorHAnsi" w:hAnsiTheme="minorHAnsi"/>
          <w:color w:val="auto"/>
          <w:sz w:val="20"/>
          <w:szCs w:val="20"/>
          <w:lang w:val="sr-Cyrl-RS"/>
        </w:rPr>
        <w:t>. Износ од 220.800,33 КМ се односи на плаћене гаранције по основу емитованих хартија од вриједности за клијента Интерлигнум д.о.о, док се преостали износ од 51.442,74 КМ односи на двије плаћене гаранције из кредитног портфеља.</w:t>
      </w:r>
      <w:r w:rsidR="006B5569" w:rsidRPr="006B5569">
        <w:rPr>
          <w:rFonts w:asciiTheme="minorHAnsi" w:hAnsiTheme="minorHAnsi"/>
          <w:color w:val="auto"/>
          <w:sz w:val="20"/>
          <w:szCs w:val="20"/>
          <w:lang w:val="sr-Latn-CS"/>
        </w:rPr>
        <w:t>Констатова</w:t>
      </w:r>
      <w:r w:rsidR="006B5569" w:rsidRPr="006B5569">
        <w:rPr>
          <w:rFonts w:asciiTheme="minorHAnsi" w:hAnsiTheme="minorHAnsi"/>
          <w:color w:val="auto"/>
          <w:sz w:val="20"/>
          <w:szCs w:val="20"/>
          <w:lang w:val="sr-Cyrl-BA"/>
        </w:rPr>
        <w:t xml:space="preserve">но је </w:t>
      </w:r>
      <w:r w:rsidR="006B5569" w:rsidRPr="006B5569">
        <w:rPr>
          <w:rFonts w:asciiTheme="minorHAnsi" w:hAnsiTheme="minorHAnsi"/>
          <w:color w:val="auto"/>
          <w:sz w:val="20"/>
          <w:szCs w:val="20"/>
          <w:lang w:val="sr-Latn-CS"/>
        </w:rPr>
        <w:t>да Фонд примјењује усвојену методологију за процјену очекиваних губитака рађену према МСФИ-9 Финансијски инструменти.</w:t>
      </w:r>
      <w:r w:rsidR="006B5569" w:rsidRPr="006B5569">
        <w:rPr>
          <w:rFonts w:asciiTheme="minorHAnsi" w:hAnsiTheme="minorHAnsi"/>
          <w:color w:val="auto"/>
          <w:sz w:val="20"/>
          <w:szCs w:val="20"/>
          <w:lang w:val="sr-Cyrl-RS"/>
        </w:rPr>
        <w:t xml:space="preserve"> Према ревизорском извјештају, н</w:t>
      </w:r>
      <w:r w:rsidR="006B5569" w:rsidRPr="006B5569">
        <w:rPr>
          <w:rFonts w:asciiTheme="minorHAnsi" w:hAnsiTheme="minorHAnsi"/>
          <w:color w:val="auto"/>
          <w:sz w:val="20"/>
          <w:szCs w:val="20"/>
          <w:lang w:val="sr-Latn-CS"/>
        </w:rPr>
        <w:t>ис</w:t>
      </w:r>
      <w:r w:rsidR="006B5569" w:rsidRPr="006B5569">
        <w:rPr>
          <w:rFonts w:asciiTheme="minorHAnsi" w:hAnsiTheme="minorHAnsi"/>
          <w:color w:val="auto"/>
          <w:sz w:val="20"/>
          <w:szCs w:val="20"/>
          <w:lang w:val="sr-Cyrl-BA"/>
        </w:rPr>
        <w:t>у</w:t>
      </w:r>
      <w:r w:rsidR="006B5569" w:rsidRPr="006B5569">
        <w:rPr>
          <w:rFonts w:asciiTheme="minorHAnsi" w:hAnsiTheme="minorHAnsi"/>
          <w:color w:val="auto"/>
          <w:sz w:val="20"/>
          <w:szCs w:val="20"/>
          <w:lang w:val="sr-Latn-CS"/>
        </w:rPr>
        <w:t xml:space="preserve"> идентификова</w:t>
      </w:r>
      <w:r w:rsidR="006B5569" w:rsidRPr="006B5569">
        <w:rPr>
          <w:rFonts w:asciiTheme="minorHAnsi" w:hAnsiTheme="minorHAnsi"/>
          <w:color w:val="auto"/>
          <w:sz w:val="20"/>
          <w:szCs w:val="20"/>
          <w:lang w:val="sr-Cyrl-BA"/>
        </w:rPr>
        <w:t>не</w:t>
      </w:r>
      <w:r w:rsidR="006B5569" w:rsidRPr="006B5569">
        <w:rPr>
          <w:rFonts w:asciiTheme="minorHAnsi" w:hAnsiTheme="minorHAnsi"/>
          <w:color w:val="auto"/>
          <w:sz w:val="20"/>
          <w:szCs w:val="20"/>
          <w:lang w:val="sr-Latn-CS"/>
        </w:rPr>
        <w:t xml:space="preserve"> неправилности у вези са вредновањем </w:t>
      </w:r>
      <w:r w:rsidR="006B5569" w:rsidRPr="006B5569">
        <w:rPr>
          <w:rFonts w:asciiTheme="minorHAnsi" w:hAnsiTheme="minorHAnsi"/>
          <w:color w:val="auto"/>
          <w:sz w:val="20"/>
          <w:szCs w:val="20"/>
          <w:lang w:val="sr-Cyrl-BA"/>
        </w:rPr>
        <w:t>„</w:t>
      </w:r>
      <w:r w:rsidR="006B5569" w:rsidRPr="006B5569">
        <w:rPr>
          <w:rFonts w:asciiTheme="minorHAnsi" w:hAnsiTheme="minorHAnsi"/>
          <w:color w:val="auto"/>
          <w:sz w:val="20"/>
          <w:szCs w:val="20"/>
          <w:lang w:val="sr-Latn-CS"/>
        </w:rPr>
        <w:t>Осталих пласмана у домаћој валути</w:t>
      </w:r>
      <w:r w:rsidR="006B5569" w:rsidRPr="006B5569">
        <w:rPr>
          <w:rFonts w:asciiTheme="minorHAnsi" w:hAnsiTheme="minorHAnsi"/>
          <w:color w:val="auto"/>
          <w:sz w:val="20"/>
          <w:szCs w:val="20"/>
          <w:lang w:val="sr-Cyrl-BA"/>
        </w:rPr>
        <w:t>“, „пласмана за извршен плаћања по гаранцијама“</w:t>
      </w:r>
      <w:r w:rsidR="006B5569" w:rsidRPr="006B5569">
        <w:rPr>
          <w:rFonts w:asciiTheme="minorHAnsi" w:hAnsiTheme="minorHAnsi"/>
          <w:color w:val="auto"/>
          <w:sz w:val="20"/>
          <w:szCs w:val="20"/>
          <w:lang w:val="sr-Latn-CS"/>
        </w:rPr>
        <w:t xml:space="preserve"> и </w:t>
      </w:r>
      <w:r w:rsidR="006B5569" w:rsidRPr="006B5569">
        <w:rPr>
          <w:rFonts w:asciiTheme="minorHAnsi" w:hAnsiTheme="minorHAnsi"/>
          <w:color w:val="auto"/>
          <w:sz w:val="20"/>
          <w:szCs w:val="20"/>
          <w:lang w:val="sr-Cyrl-RS"/>
        </w:rPr>
        <w:t xml:space="preserve">осталих </w:t>
      </w:r>
      <w:r w:rsidR="006B5569" w:rsidRPr="006B5569">
        <w:rPr>
          <w:rFonts w:asciiTheme="minorHAnsi" w:hAnsiTheme="minorHAnsi"/>
          <w:color w:val="auto"/>
          <w:sz w:val="20"/>
          <w:szCs w:val="20"/>
          <w:lang w:val="sr-Latn-CS"/>
        </w:rPr>
        <w:t>података објелодањених уз Финансијске извјештаје за 202</w:t>
      </w:r>
      <w:r w:rsidR="006B5569" w:rsidRPr="006B5569">
        <w:rPr>
          <w:rFonts w:asciiTheme="minorHAnsi" w:hAnsiTheme="minorHAnsi"/>
          <w:color w:val="auto"/>
          <w:sz w:val="20"/>
          <w:szCs w:val="20"/>
          <w:lang w:val="sr-Cyrl-RS"/>
        </w:rPr>
        <w:t>4</w:t>
      </w:r>
      <w:r w:rsidR="006B5569" w:rsidRPr="006B5569">
        <w:rPr>
          <w:rFonts w:asciiTheme="minorHAnsi" w:hAnsiTheme="minorHAnsi"/>
          <w:color w:val="auto"/>
          <w:sz w:val="20"/>
          <w:szCs w:val="20"/>
          <w:lang w:val="sr-Latn-CS"/>
        </w:rPr>
        <w:t>.годину</w:t>
      </w:r>
      <w:r w:rsidR="006B5569" w:rsidRPr="006B5569">
        <w:rPr>
          <w:rFonts w:asciiTheme="minorHAnsi" w:hAnsiTheme="minorHAnsi"/>
          <w:color w:val="auto"/>
          <w:sz w:val="20"/>
          <w:szCs w:val="20"/>
          <w:lang w:val="sr-Cyrl-BA"/>
        </w:rPr>
        <w:t>.</w:t>
      </w:r>
    </w:p>
    <w:p w:rsidR="006B5569" w:rsidRPr="006B5569" w:rsidRDefault="006B5569" w:rsidP="006B5569">
      <w:pPr>
        <w:rPr>
          <w:rFonts w:asciiTheme="minorHAnsi" w:hAnsiTheme="minorHAnsi"/>
          <w:color w:val="auto"/>
          <w:sz w:val="20"/>
          <w:szCs w:val="20"/>
          <w:lang w:val="sr-Cyrl-CS" w:eastAsia="sr-Cyrl-CS"/>
        </w:rPr>
      </w:pPr>
    </w:p>
    <w:p w:rsidR="001A7D95" w:rsidRPr="00D14A0D" w:rsidRDefault="004F03D0" w:rsidP="004F03D0">
      <w:pPr>
        <w:pStyle w:val="ListParagraph"/>
        <w:ind w:left="1134"/>
        <w:rPr>
          <w:rFonts w:asciiTheme="minorHAnsi" w:hAnsiTheme="minorHAnsi"/>
          <w:color w:val="auto"/>
          <w:sz w:val="20"/>
          <w:szCs w:val="20"/>
          <w:lang w:val="sr-Cyrl-CS" w:eastAsia="sr-Cyrl-CS"/>
        </w:rPr>
      </w:pPr>
      <w:r w:rsidRPr="004F03D0">
        <w:rPr>
          <w:rFonts w:asciiTheme="minorHAnsi" w:hAnsiTheme="minorHAnsi"/>
          <w:b/>
          <w:color w:val="auto"/>
          <w:sz w:val="20"/>
          <w:szCs w:val="20"/>
          <w:lang w:val="sr-Cyrl-CS" w:eastAsia="sr-Cyrl-CS"/>
        </w:rPr>
        <w:t>3</w:t>
      </w:r>
      <w:r>
        <w:rPr>
          <w:rFonts w:asciiTheme="minorHAnsi" w:hAnsiTheme="minorHAnsi"/>
          <w:color w:val="auto"/>
          <w:sz w:val="20"/>
          <w:szCs w:val="20"/>
          <w:lang w:val="sr-Cyrl-CS" w:eastAsia="sr-Cyrl-CS"/>
        </w:rPr>
        <w:t xml:space="preserve">. </w:t>
      </w:r>
      <w:r w:rsidR="001A7D95" w:rsidRPr="004F03D0">
        <w:rPr>
          <w:rFonts w:asciiTheme="minorHAnsi" w:hAnsiTheme="minorHAnsi"/>
          <w:i/>
          <w:color w:val="auto"/>
          <w:sz w:val="20"/>
          <w:szCs w:val="20"/>
          <w:lang w:val="sr-Cyrl-CS" w:eastAsia="sr-Cyrl-CS"/>
        </w:rPr>
        <w:t>улагања у удјеле отвореног инвестиционог фонда</w:t>
      </w:r>
      <w:r w:rsidR="001A7D95">
        <w:rPr>
          <w:rFonts w:asciiTheme="minorHAnsi" w:hAnsiTheme="minorHAnsi"/>
          <w:color w:val="auto"/>
          <w:sz w:val="20"/>
          <w:szCs w:val="20"/>
          <w:lang w:val="sr-Cyrl-CS" w:eastAsia="sr-Cyrl-CS"/>
        </w:rPr>
        <w:t xml:space="preserve"> </w:t>
      </w:r>
      <w:r w:rsidR="001A7D95" w:rsidRPr="001A7D95">
        <w:rPr>
          <w:rFonts w:asciiTheme="minorHAnsi" w:hAnsiTheme="minorHAnsi"/>
          <w:color w:val="auto"/>
          <w:sz w:val="20"/>
          <w:szCs w:val="20"/>
          <w:lang w:val="sr-Cyrl-CS" w:eastAsia="sr-Cyrl-CS"/>
        </w:rPr>
        <w:t xml:space="preserve">MS Loans </w:t>
      </w:r>
      <w:r w:rsidR="001A7D95">
        <w:rPr>
          <w:rFonts w:asciiTheme="minorHAnsi" w:hAnsiTheme="minorHAnsi"/>
          <w:color w:val="auto"/>
          <w:sz w:val="20"/>
          <w:szCs w:val="20"/>
          <w:lang w:val="sr-Cyrl-CS" w:eastAsia="sr-Cyrl-CS"/>
        </w:rPr>
        <w:t>а.д. Бања Лука чија вриједност на дан 31.12.2024. године износи</w:t>
      </w:r>
      <w:r w:rsidR="001A7D95" w:rsidRPr="001A7D95">
        <w:rPr>
          <w:rFonts w:asciiTheme="minorHAnsi" w:hAnsiTheme="minorHAnsi"/>
          <w:color w:val="auto"/>
          <w:sz w:val="20"/>
          <w:szCs w:val="20"/>
          <w:lang w:val="sr-Cyrl-CS" w:eastAsia="sr-Cyrl-CS"/>
        </w:rPr>
        <w:t xml:space="preserve"> 126.787,43 KM</w:t>
      </w:r>
      <w:r w:rsidR="001A7D95">
        <w:rPr>
          <w:rFonts w:asciiTheme="minorHAnsi" w:hAnsiTheme="minorHAnsi"/>
          <w:color w:val="auto"/>
          <w:sz w:val="20"/>
          <w:szCs w:val="20"/>
          <w:lang w:val="sr-Cyrl-CS" w:eastAsia="sr-Cyrl-CS"/>
        </w:rPr>
        <w:t>;</w:t>
      </w:r>
    </w:p>
    <w:p w:rsidR="008F7B16" w:rsidRDefault="004F03D0" w:rsidP="004F03D0">
      <w:pPr>
        <w:pStyle w:val="ListParagraph"/>
        <w:ind w:left="1134"/>
        <w:rPr>
          <w:rFonts w:asciiTheme="minorHAnsi" w:hAnsiTheme="minorHAnsi"/>
          <w:color w:val="auto"/>
          <w:sz w:val="20"/>
          <w:szCs w:val="20"/>
          <w:lang w:val="sr-Cyrl-CS" w:eastAsia="sr-Cyrl-CS"/>
        </w:rPr>
      </w:pPr>
      <w:r w:rsidRPr="004F03D0">
        <w:rPr>
          <w:rFonts w:asciiTheme="minorHAnsi" w:hAnsiTheme="minorHAnsi"/>
          <w:b/>
          <w:color w:val="auto"/>
          <w:sz w:val="20"/>
          <w:szCs w:val="20"/>
          <w:lang w:val="sr-Cyrl-CS" w:eastAsia="sr-Cyrl-CS"/>
        </w:rPr>
        <w:t>4.</w:t>
      </w:r>
      <w:r>
        <w:rPr>
          <w:rFonts w:asciiTheme="minorHAnsi" w:hAnsiTheme="minorHAnsi"/>
          <w:color w:val="auto"/>
          <w:sz w:val="20"/>
          <w:szCs w:val="20"/>
          <w:lang w:val="sr-Cyrl-CS" w:eastAsia="sr-Cyrl-CS"/>
        </w:rPr>
        <w:t xml:space="preserve"> </w:t>
      </w:r>
      <w:r w:rsidR="004B146F" w:rsidRPr="004F03D0">
        <w:rPr>
          <w:rFonts w:asciiTheme="minorHAnsi" w:hAnsiTheme="minorHAnsi"/>
          <w:i/>
          <w:color w:val="auto"/>
          <w:sz w:val="20"/>
          <w:szCs w:val="20"/>
          <w:lang w:val="sr-Cyrl-CS" w:eastAsia="sr-Cyrl-CS"/>
        </w:rPr>
        <w:t>активна временска разграничења</w:t>
      </w:r>
      <w:r w:rsidR="004B146F" w:rsidRPr="00070763">
        <w:rPr>
          <w:rFonts w:asciiTheme="minorHAnsi" w:hAnsiTheme="minorHAnsi"/>
          <w:color w:val="auto"/>
          <w:sz w:val="20"/>
          <w:szCs w:val="20"/>
          <w:lang w:val="sr-Cyrl-CS" w:eastAsia="sr-Cyrl-CS"/>
        </w:rPr>
        <w:t xml:space="preserve"> (АВР)</w:t>
      </w:r>
      <w:r w:rsidR="00EF4BB3">
        <w:rPr>
          <w:rFonts w:asciiTheme="minorHAnsi" w:hAnsiTheme="minorHAnsi"/>
          <w:color w:val="auto"/>
          <w:sz w:val="20"/>
          <w:szCs w:val="20"/>
          <w:lang w:val="sr-Cyrl-CS" w:eastAsia="sr-Cyrl-CS"/>
        </w:rPr>
        <w:t xml:space="preserve"> у износу од</w:t>
      </w:r>
      <w:r w:rsidR="004B146F" w:rsidRPr="00070763">
        <w:rPr>
          <w:rFonts w:asciiTheme="minorHAnsi" w:hAnsiTheme="minorHAnsi"/>
          <w:color w:val="auto"/>
          <w:sz w:val="20"/>
          <w:szCs w:val="20"/>
          <w:lang w:val="sr-Cyrl-CS" w:eastAsia="sr-Cyrl-CS"/>
        </w:rPr>
        <w:t xml:space="preserve"> </w:t>
      </w:r>
      <w:r w:rsidR="001A7D95">
        <w:rPr>
          <w:rFonts w:asciiTheme="minorHAnsi" w:hAnsiTheme="minorHAnsi"/>
          <w:color w:val="auto"/>
          <w:sz w:val="20"/>
          <w:szCs w:val="20"/>
          <w:lang w:val="sr-Cyrl-CS" w:eastAsia="sr-Cyrl-CS"/>
        </w:rPr>
        <w:t>1.836,29</w:t>
      </w:r>
      <w:r w:rsidR="004B146F" w:rsidRPr="00070763">
        <w:rPr>
          <w:rFonts w:asciiTheme="minorHAnsi" w:hAnsiTheme="minorHAnsi"/>
          <w:color w:val="auto"/>
          <w:sz w:val="20"/>
          <w:szCs w:val="20"/>
          <w:lang w:val="sr-Cyrl-CS" w:eastAsia="sr-Cyrl-CS"/>
        </w:rPr>
        <w:t xml:space="preserve"> КМ</w:t>
      </w:r>
      <w:r w:rsidR="00070763" w:rsidRPr="00070763">
        <w:rPr>
          <w:rFonts w:asciiTheme="minorHAnsi" w:hAnsiTheme="minorHAnsi"/>
          <w:color w:val="auto"/>
          <w:sz w:val="20"/>
          <w:szCs w:val="20"/>
          <w:lang w:val="sr-Cyrl-CS" w:eastAsia="sr-Cyrl-CS"/>
        </w:rPr>
        <w:t>.</w:t>
      </w:r>
    </w:p>
    <w:p w:rsidR="006B3D49" w:rsidRDefault="006B3D49" w:rsidP="006B3D49">
      <w:pPr>
        <w:rPr>
          <w:rFonts w:asciiTheme="minorHAnsi" w:hAnsiTheme="minorHAnsi"/>
          <w:color w:val="auto"/>
          <w:sz w:val="20"/>
          <w:szCs w:val="20"/>
          <w:lang w:val="sr-Cyrl-CS" w:eastAsia="sr-Cyrl-CS"/>
        </w:rPr>
      </w:pPr>
    </w:p>
    <w:p w:rsidR="006B3D49" w:rsidRDefault="006B3D49" w:rsidP="006B3D49">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Посматрано у односу на 2023. годину, текућа средства су мања за 14,22%, а на смањење ј</w:t>
      </w:r>
      <w:r w:rsidR="00A571BC">
        <w:rPr>
          <w:rFonts w:asciiTheme="minorHAnsi" w:hAnsiTheme="minorHAnsi"/>
          <w:color w:val="auto"/>
          <w:sz w:val="20"/>
          <w:szCs w:val="20"/>
          <w:lang w:val="sr-Cyrl-CS" w:eastAsia="sr-Cyrl-CS"/>
        </w:rPr>
        <w:t>е највећим дијелом утицала</w:t>
      </w:r>
      <w:r>
        <w:rPr>
          <w:rFonts w:asciiTheme="minorHAnsi" w:hAnsiTheme="minorHAnsi"/>
          <w:color w:val="auto"/>
          <w:sz w:val="20"/>
          <w:szCs w:val="20"/>
          <w:lang w:val="sr-Cyrl-CS" w:eastAsia="sr-Cyrl-CS"/>
        </w:rPr>
        <w:t xml:space="preserve"> </w:t>
      </w:r>
      <w:r w:rsidR="00A571BC">
        <w:rPr>
          <w:rFonts w:asciiTheme="minorHAnsi" w:hAnsiTheme="minorHAnsi"/>
          <w:color w:val="auto"/>
          <w:sz w:val="20"/>
          <w:szCs w:val="20"/>
          <w:lang w:val="sr-Cyrl-CS" w:eastAsia="sr-Cyrl-CS"/>
        </w:rPr>
        <w:t xml:space="preserve">мања вриједност улагања у хартије од вриједности. Смањење је забиљежено и на позицији готовине, док је у оквиру потраживања и осталих пласмана забиљежен мањи раст. </w:t>
      </w:r>
    </w:p>
    <w:p w:rsidR="00A571BC" w:rsidRPr="006B3D49" w:rsidRDefault="00A571BC" w:rsidP="006B3D49">
      <w:pPr>
        <w:rPr>
          <w:rFonts w:asciiTheme="minorHAnsi" w:hAnsiTheme="minorHAnsi"/>
          <w:color w:val="auto"/>
          <w:sz w:val="20"/>
          <w:szCs w:val="20"/>
          <w:lang w:val="sr-Cyrl-CS" w:eastAsia="sr-Cyrl-CS"/>
        </w:rPr>
      </w:pPr>
    </w:p>
    <w:p w:rsidR="00CA28AF" w:rsidRDefault="00AC030A" w:rsidP="00A571BC">
      <w:pPr>
        <w:tabs>
          <w:tab w:val="left" w:pos="1134"/>
        </w:tabs>
        <w:ind w:left="709" w:hanging="709"/>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Ст</w:t>
      </w:r>
      <w:r w:rsidR="00CA28AF">
        <w:rPr>
          <w:rFonts w:asciiTheme="minorHAnsi" w:hAnsiTheme="minorHAnsi"/>
          <w:color w:val="auto"/>
          <w:sz w:val="20"/>
          <w:szCs w:val="20"/>
          <w:lang w:val="sr-Cyrl-CS" w:eastAsia="sr-Cyrl-CS"/>
        </w:rPr>
        <w:t xml:space="preserve">ална средства </w:t>
      </w:r>
      <w:r w:rsidR="008F7B16">
        <w:rPr>
          <w:rFonts w:asciiTheme="minorHAnsi" w:hAnsiTheme="minorHAnsi"/>
          <w:color w:val="auto"/>
          <w:sz w:val="20"/>
          <w:szCs w:val="20"/>
          <w:lang w:val="sr-Cyrl-CS" w:eastAsia="sr-Cyrl-CS"/>
        </w:rPr>
        <w:t xml:space="preserve">у износу </w:t>
      </w:r>
      <w:r w:rsidR="008F7B16" w:rsidRPr="00A571BC">
        <w:rPr>
          <w:rFonts w:asciiTheme="minorHAnsi" w:hAnsiTheme="minorHAnsi"/>
          <w:color w:val="auto"/>
          <w:sz w:val="20"/>
          <w:szCs w:val="20"/>
          <w:lang w:val="sr-Cyrl-CS" w:eastAsia="sr-Cyrl-CS"/>
        </w:rPr>
        <w:t xml:space="preserve">од </w:t>
      </w:r>
      <w:r w:rsidR="00A571BC" w:rsidRPr="00A571BC">
        <w:rPr>
          <w:rFonts w:ascii="Calibri" w:hAnsi="Calibri"/>
          <w:bCs/>
          <w:sz w:val="20"/>
          <w:szCs w:val="20"/>
        </w:rPr>
        <w:t>177.494,34</w:t>
      </w:r>
      <w:r w:rsidR="00A571BC" w:rsidRPr="00A571BC">
        <w:rPr>
          <w:rFonts w:ascii="Calibri" w:hAnsi="Calibri"/>
          <w:bCs/>
          <w:sz w:val="20"/>
          <w:szCs w:val="20"/>
          <w:lang w:val="sr-Cyrl-RS"/>
        </w:rPr>
        <w:t xml:space="preserve"> </w:t>
      </w:r>
      <w:r w:rsidR="008F7B16" w:rsidRPr="00A571BC">
        <w:rPr>
          <w:rFonts w:asciiTheme="minorHAnsi" w:hAnsiTheme="minorHAnsi"/>
          <w:color w:val="auto"/>
          <w:sz w:val="20"/>
          <w:szCs w:val="20"/>
          <w:lang w:val="sr-Cyrl-CS" w:eastAsia="sr-Cyrl-CS"/>
        </w:rPr>
        <w:t>КМ</w:t>
      </w:r>
      <w:r w:rsidR="008F7B16">
        <w:rPr>
          <w:rFonts w:asciiTheme="minorHAnsi" w:hAnsiTheme="minorHAnsi"/>
          <w:color w:val="auto"/>
          <w:sz w:val="20"/>
          <w:szCs w:val="20"/>
          <w:lang w:val="sr-Cyrl-CS" w:eastAsia="sr-Cyrl-CS"/>
        </w:rPr>
        <w:t xml:space="preserve"> </w:t>
      </w:r>
      <w:r w:rsidR="00A571BC">
        <w:rPr>
          <w:rFonts w:asciiTheme="minorHAnsi" w:hAnsiTheme="minorHAnsi"/>
          <w:color w:val="auto"/>
          <w:sz w:val="20"/>
          <w:szCs w:val="20"/>
          <w:lang w:val="sr-Cyrl-CS" w:eastAsia="sr-Cyrl-CS"/>
        </w:rPr>
        <w:t>обухватају сљ</w:t>
      </w:r>
      <w:r w:rsidR="00CA28AF">
        <w:rPr>
          <w:rFonts w:asciiTheme="minorHAnsi" w:hAnsiTheme="minorHAnsi"/>
          <w:color w:val="auto"/>
          <w:sz w:val="20"/>
          <w:szCs w:val="20"/>
          <w:lang w:val="sr-Cyrl-CS" w:eastAsia="sr-Cyrl-CS"/>
        </w:rPr>
        <w:t>едеће ставке:</w:t>
      </w:r>
    </w:p>
    <w:p w:rsidR="0052360C" w:rsidRPr="00CA28AF" w:rsidRDefault="0052360C" w:rsidP="00CA28AF">
      <w:pPr>
        <w:tabs>
          <w:tab w:val="left" w:pos="1134"/>
        </w:tabs>
        <w:ind w:left="709"/>
        <w:rPr>
          <w:rFonts w:asciiTheme="minorHAnsi" w:hAnsiTheme="minorHAnsi"/>
          <w:color w:val="auto"/>
          <w:sz w:val="20"/>
          <w:szCs w:val="20"/>
          <w:lang w:val="sr-Cyrl-CS" w:eastAsia="sr-Cyrl-CS"/>
        </w:rPr>
      </w:pPr>
    </w:p>
    <w:p w:rsidR="00CA28AF" w:rsidRPr="00CA28AF" w:rsidRDefault="00CA28AF" w:rsidP="00CA28AF">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основна средства</w:t>
      </w:r>
      <w:r w:rsidRPr="00CA28AF">
        <w:rPr>
          <w:rFonts w:asciiTheme="minorHAnsi" w:hAnsiTheme="minorHAnsi"/>
          <w:color w:val="auto"/>
          <w:sz w:val="20"/>
          <w:szCs w:val="20"/>
          <w:lang w:val="sr-Cyrl-CS" w:eastAsia="sr-Cyrl-CS"/>
        </w:rPr>
        <w:t xml:space="preserve"> се односе на улагања у опрему за рад Фонда</w:t>
      </w:r>
      <w:r>
        <w:rPr>
          <w:rFonts w:asciiTheme="minorHAnsi" w:hAnsiTheme="minorHAnsi"/>
          <w:color w:val="auto"/>
          <w:sz w:val="20"/>
          <w:szCs w:val="20"/>
          <w:lang w:val="sr-Cyrl-CS" w:eastAsia="sr-Cyrl-CS"/>
        </w:rPr>
        <w:t xml:space="preserve"> у </w:t>
      </w:r>
      <w:r w:rsidR="002878D8">
        <w:rPr>
          <w:rFonts w:asciiTheme="minorHAnsi" w:hAnsiTheme="minorHAnsi"/>
          <w:color w:val="auto"/>
          <w:sz w:val="20"/>
          <w:szCs w:val="20"/>
          <w:lang w:val="sr-Cyrl-CS" w:eastAsia="sr-Cyrl-CS"/>
        </w:rPr>
        <w:t xml:space="preserve">нето </w:t>
      </w:r>
      <w:r>
        <w:rPr>
          <w:rFonts w:asciiTheme="minorHAnsi" w:hAnsiTheme="minorHAnsi"/>
          <w:color w:val="auto"/>
          <w:sz w:val="20"/>
          <w:szCs w:val="20"/>
          <w:lang w:val="sr-Cyrl-CS" w:eastAsia="sr-Cyrl-CS"/>
        </w:rPr>
        <w:t xml:space="preserve">износу од </w:t>
      </w:r>
      <w:r w:rsidR="002878D8">
        <w:rPr>
          <w:rFonts w:ascii="Calibri" w:hAnsi="Calibri"/>
          <w:sz w:val="20"/>
          <w:szCs w:val="20"/>
          <w:lang w:val="sr-Cyrl-RS"/>
        </w:rPr>
        <w:t>89.210,59</w:t>
      </w:r>
      <w:r w:rsidR="00A571BC">
        <w:rPr>
          <w:rFonts w:ascii="Calibri" w:hAnsi="Calibri"/>
          <w:sz w:val="20"/>
          <w:szCs w:val="20"/>
          <w:lang w:val="sr-Cyrl-RS"/>
        </w:rPr>
        <w:t xml:space="preserve"> </w:t>
      </w:r>
      <w:r w:rsidR="00A571BC">
        <w:rPr>
          <w:rFonts w:asciiTheme="minorHAnsi" w:hAnsiTheme="minorHAnsi"/>
          <w:color w:val="auto"/>
          <w:sz w:val="20"/>
          <w:szCs w:val="20"/>
          <w:lang w:val="sr-Cyrl-CS" w:eastAsia="sr-Cyrl-CS"/>
        </w:rPr>
        <w:t xml:space="preserve">КМ и </w:t>
      </w:r>
      <w:r>
        <w:rPr>
          <w:rFonts w:asciiTheme="minorHAnsi" w:hAnsiTheme="minorHAnsi"/>
          <w:color w:val="auto"/>
          <w:sz w:val="20"/>
          <w:szCs w:val="20"/>
          <w:lang w:val="sr-Cyrl-CS" w:eastAsia="sr-Cyrl-CS"/>
        </w:rPr>
        <w:t>улагањ</w:t>
      </w:r>
      <w:r w:rsidR="00E00B0B">
        <w:rPr>
          <w:rFonts w:asciiTheme="minorHAnsi" w:hAnsiTheme="minorHAnsi"/>
          <w:color w:val="auto"/>
          <w:sz w:val="20"/>
          <w:szCs w:val="20"/>
          <w:lang w:val="sr-Cyrl-CS" w:eastAsia="sr-Cyrl-CS"/>
        </w:rPr>
        <w:t>е</w:t>
      </w:r>
      <w:r>
        <w:rPr>
          <w:rFonts w:asciiTheme="minorHAnsi" w:hAnsiTheme="minorHAnsi"/>
          <w:color w:val="auto"/>
          <w:sz w:val="20"/>
          <w:szCs w:val="20"/>
          <w:lang w:val="sr-Cyrl-CS" w:eastAsia="sr-Cyrl-CS"/>
        </w:rPr>
        <w:t xml:space="preserve"> у туђа стална средства</w:t>
      </w:r>
      <w:r w:rsidR="0077190E">
        <w:rPr>
          <w:rFonts w:asciiTheme="minorHAnsi" w:hAnsiTheme="minorHAnsi"/>
          <w:color w:val="auto"/>
          <w:sz w:val="20"/>
          <w:szCs w:val="20"/>
          <w:lang w:val="sr-Cyrl-CS" w:eastAsia="sr-Cyrl-CS"/>
        </w:rPr>
        <w:t xml:space="preserve"> (</w:t>
      </w:r>
      <w:r w:rsidR="002878D8">
        <w:rPr>
          <w:rFonts w:asciiTheme="minorHAnsi" w:hAnsiTheme="minorHAnsi"/>
          <w:color w:val="auto"/>
          <w:sz w:val="20"/>
          <w:szCs w:val="20"/>
          <w:lang w:val="sr-Cyrl-CS" w:eastAsia="sr-Cyrl-CS"/>
        </w:rPr>
        <w:t>пословне просторије Гарантног фонда које су у власништву Инвестиционо-развојне банке)</w:t>
      </w:r>
      <w:r>
        <w:rPr>
          <w:rFonts w:asciiTheme="minorHAnsi" w:hAnsiTheme="minorHAnsi"/>
          <w:color w:val="auto"/>
          <w:sz w:val="20"/>
          <w:szCs w:val="20"/>
          <w:lang w:val="sr-Cyrl-CS" w:eastAsia="sr-Cyrl-CS"/>
        </w:rPr>
        <w:t xml:space="preserve"> у </w:t>
      </w:r>
      <w:r w:rsidR="002878D8">
        <w:rPr>
          <w:rFonts w:asciiTheme="minorHAnsi" w:hAnsiTheme="minorHAnsi"/>
          <w:color w:val="auto"/>
          <w:sz w:val="20"/>
          <w:szCs w:val="20"/>
          <w:lang w:val="sr-Cyrl-CS" w:eastAsia="sr-Cyrl-CS"/>
        </w:rPr>
        <w:t xml:space="preserve">нето </w:t>
      </w:r>
      <w:r>
        <w:rPr>
          <w:rFonts w:asciiTheme="minorHAnsi" w:hAnsiTheme="minorHAnsi"/>
          <w:color w:val="auto"/>
          <w:sz w:val="20"/>
          <w:szCs w:val="20"/>
          <w:lang w:val="sr-Cyrl-CS" w:eastAsia="sr-Cyrl-CS"/>
        </w:rPr>
        <w:t xml:space="preserve">износу од </w:t>
      </w:r>
      <w:r w:rsidR="002878D8">
        <w:rPr>
          <w:rFonts w:asciiTheme="minorHAnsi" w:hAnsiTheme="minorHAnsi"/>
          <w:color w:val="auto"/>
          <w:sz w:val="20"/>
          <w:szCs w:val="20"/>
          <w:lang w:val="sr-Cyrl-CS" w:eastAsia="sr-Cyrl-CS"/>
        </w:rPr>
        <w:t>27.027,96</w:t>
      </w:r>
      <w:r>
        <w:rPr>
          <w:rFonts w:asciiTheme="minorHAnsi" w:hAnsiTheme="minorHAnsi"/>
          <w:color w:val="auto"/>
          <w:sz w:val="20"/>
          <w:szCs w:val="20"/>
          <w:lang w:val="sr-Cyrl-CS" w:eastAsia="sr-Cyrl-CS"/>
        </w:rPr>
        <w:t xml:space="preserve"> КМ. </w:t>
      </w:r>
      <w:r w:rsidR="00A571BC">
        <w:rPr>
          <w:rFonts w:asciiTheme="minorHAnsi" w:hAnsiTheme="minorHAnsi"/>
          <w:color w:val="auto"/>
          <w:sz w:val="20"/>
          <w:szCs w:val="20"/>
          <w:lang w:val="sr-Cyrl-CS" w:eastAsia="sr-Cyrl-CS"/>
        </w:rPr>
        <w:t>Н</w:t>
      </w:r>
      <w:r w:rsidR="00A571BC" w:rsidRPr="00CA28AF">
        <w:rPr>
          <w:rFonts w:asciiTheme="minorHAnsi" w:hAnsiTheme="minorHAnsi"/>
          <w:color w:val="auto"/>
          <w:sz w:val="20"/>
          <w:szCs w:val="20"/>
          <w:lang w:val="sr-Cyrl-CS" w:eastAsia="sr-Cyrl-CS"/>
        </w:rPr>
        <w:t xml:space="preserve">ето вриједност </w:t>
      </w:r>
      <w:r w:rsidR="00A571BC">
        <w:rPr>
          <w:rFonts w:asciiTheme="minorHAnsi" w:hAnsiTheme="minorHAnsi"/>
          <w:color w:val="auto"/>
          <w:sz w:val="20"/>
          <w:szCs w:val="20"/>
          <w:lang w:val="sr-Cyrl-CS" w:eastAsia="sr-Cyrl-CS"/>
        </w:rPr>
        <w:t xml:space="preserve"> основних средстава </w:t>
      </w:r>
      <w:r w:rsidR="00A571BC" w:rsidRPr="00CA28AF">
        <w:rPr>
          <w:rFonts w:asciiTheme="minorHAnsi" w:hAnsiTheme="minorHAnsi"/>
          <w:color w:val="auto"/>
          <w:sz w:val="20"/>
          <w:szCs w:val="20"/>
          <w:lang w:val="sr-Cyrl-CS" w:eastAsia="sr-Cyrl-CS"/>
        </w:rPr>
        <w:t>на крају 202</w:t>
      </w:r>
      <w:r w:rsidR="00A571BC">
        <w:rPr>
          <w:rFonts w:asciiTheme="minorHAnsi" w:hAnsiTheme="minorHAnsi"/>
          <w:color w:val="auto"/>
          <w:sz w:val="20"/>
          <w:szCs w:val="20"/>
          <w:lang w:val="sr-Cyrl-CS" w:eastAsia="sr-Cyrl-CS"/>
        </w:rPr>
        <w:t>4</w:t>
      </w:r>
      <w:r w:rsidR="00A571BC" w:rsidRPr="00CA28AF">
        <w:rPr>
          <w:rFonts w:asciiTheme="minorHAnsi" w:hAnsiTheme="minorHAnsi"/>
          <w:color w:val="auto"/>
          <w:sz w:val="20"/>
          <w:szCs w:val="20"/>
          <w:lang w:val="sr-Cyrl-CS" w:eastAsia="sr-Cyrl-CS"/>
        </w:rPr>
        <w:t xml:space="preserve">. године износи  </w:t>
      </w:r>
      <w:r w:rsidR="002878D8">
        <w:rPr>
          <w:rFonts w:asciiTheme="minorHAnsi" w:hAnsiTheme="minorHAnsi"/>
          <w:color w:val="auto"/>
          <w:sz w:val="20"/>
          <w:szCs w:val="20"/>
          <w:lang w:val="sr-Cyrl-CS" w:eastAsia="sr-Cyrl-CS"/>
        </w:rPr>
        <w:t>116.238,55</w:t>
      </w:r>
      <w:r w:rsidR="00A571BC" w:rsidRPr="00CA28AF">
        <w:rPr>
          <w:rFonts w:asciiTheme="minorHAnsi" w:hAnsiTheme="minorHAnsi"/>
          <w:color w:val="auto"/>
          <w:sz w:val="20"/>
          <w:szCs w:val="20"/>
          <w:lang w:val="sr-Cyrl-CS" w:eastAsia="sr-Cyrl-CS"/>
        </w:rPr>
        <w:t xml:space="preserve"> КМ</w:t>
      </w:r>
      <w:r w:rsidR="00A571BC">
        <w:rPr>
          <w:rFonts w:asciiTheme="minorHAnsi" w:hAnsiTheme="minorHAnsi"/>
          <w:color w:val="auto"/>
          <w:sz w:val="20"/>
          <w:szCs w:val="20"/>
          <w:lang w:val="sr-Cyrl-CS" w:eastAsia="sr-Cyrl-CS"/>
        </w:rPr>
        <w:t>;</w:t>
      </w:r>
    </w:p>
    <w:p w:rsidR="00CA28AF" w:rsidRPr="00CA28AF" w:rsidRDefault="00CA28AF" w:rsidP="00CA28AF">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остала нематеријална улагања</w:t>
      </w:r>
      <w:r w:rsidRPr="00CA28AF">
        <w:rPr>
          <w:rFonts w:asciiTheme="minorHAnsi" w:hAnsiTheme="minorHAnsi"/>
          <w:color w:val="auto"/>
          <w:sz w:val="20"/>
          <w:szCs w:val="20"/>
          <w:lang w:val="sr-Cyrl-CS" w:eastAsia="sr-Cyrl-CS"/>
        </w:rPr>
        <w:t xml:space="preserve"> у нето износу од </w:t>
      </w:r>
      <w:r w:rsidR="00A571BC">
        <w:rPr>
          <w:rFonts w:asciiTheme="minorHAnsi" w:hAnsiTheme="minorHAnsi"/>
          <w:color w:val="auto"/>
          <w:sz w:val="20"/>
          <w:szCs w:val="20"/>
          <w:lang w:val="sr-Cyrl-CS" w:eastAsia="sr-Cyrl-CS"/>
        </w:rPr>
        <w:t>42.037,46</w:t>
      </w:r>
      <w:r w:rsidRPr="00CA28AF">
        <w:rPr>
          <w:rFonts w:asciiTheme="minorHAnsi" w:hAnsiTheme="minorHAnsi"/>
          <w:color w:val="auto"/>
          <w:sz w:val="20"/>
          <w:szCs w:val="20"/>
          <w:lang w:val="sr-Cyrl-CS" w:eastAsia="sr-Cyrl-CS"/>
        </w:rPr>
        <w:t xml:space="preserve"> КМ односе се на улагања у лиценце за коришћење стандардних софтвера, апликативне лиценце за софтвер гаранција, кредитни портфељ, програма </w:t>
      </w:r>
      <w:r w:rsidRPr="00CA28AF">
        <w:rPr>
          <w:rFonts w:asciiTheme="minorHAnsi" w:hAnsiTheme="minorHAnsi"/>
          <w:color w:val="auto"/>
          <w:sz w:val="20"/>
          <w:szCs w:val="20"/>
          <w:lang w:eastAsia="sr-Cyrl-CS"/>
        </w:rPr>
        <w:t xml:space="preserve">COVID </w:t>
      </w:r>
      <w:r w:rsidR="009F0184">
        <w:rPr>
          <w:rFonts w:asciiTheme="minorHAnsi" w:hAnsiTheme="minorHAnsi"/>
          <w:color w:val="auto"/>
          <w:sz w:val="20"/>
          <w:szCs w:val="20"/>
          <w:lang w:val="sr-Cyrl-CS" w:eastAsia="sr-Cyrl-CS"/>
        </w:rPr>
        <w:t xml:space="preserve">19 и </w:t>
      </w:r>
      <w:r w:rsidRPr="00CA28AF">
        <w:rPr>
          <w:rFonts w:asciiTheme="minorHAnsi" w:hAnsiTheme="minorHAnsi"/>
          <w:color w:val="auto"/>
          <w:sz w:val="20"/>
          <w:szCs w:val="20"/>
          <w:lang w:val="sr-Cyrl-CS" w:eastAsia="sr-Cyrl-CS"/>
        </w:rPr>
        <w:t>књиге стандарда Фонда</w:t>
      </w:r>
      <w:r w:rsidR="007D276B">
        <w:rPr>
          <w:rFonts w:asciiTheme="minorHAnsi" w:hAnsiTheme="minorHAnsi"/>
          <w:color w:val="auto"/>
          <w:sz w:val="20"/>
          <w:szCs w:val="20"/>
          <w:lang w:val="sr-Cyrl-CS" w:eastAsia="sr-Cyrl-CS"/>
        </w:rPr>
        <w:t>;</w:t>
      </w:r>
    </w:p>
    <w:p w:rsidR="003547B5" w:rsidRDefault="001538EF" w:rsidP="002575E6">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стална средства нам</w:t>
      </w:r>
      <w:r w:rsidR="007C74A2" w:rsidRPr="008F7B16">
        <w:rPr>
          <w:rFonts w:asciiTheme="minorHAnsi" w:hAnsiTheme="minorHAnsi"/>
          <w:b/>
          <w:color w:val="auto"/>
          <w:sz w:val="20"/>
          <w:szCs w:val="20"/>
          <w:lang w:val="sr-Cyrl-CS" w:eastAsia="sr-Cyrl-CS"/>
        </w:rPr>
        <w:t>и</w:t>
      </w:r>
      <w:r w:rsidRPr="008F7B16">
        <w:rPr>
          <w:rFonts w:asciiTheme="minorHAnsi" w:hAnsiTheme="minorHAnsi"/>
          <w:b/>
          <w:color w:val="auto"/>
          <w:sz w:val="20"/>
          <w:szCs w:val="20"/>
          <w:lang w:val="sr-Cyrl-CS" w:eastAsia="sr-Cyrl-CS"/>
        </w:rPr>
        <w:t>јењена продаји</w:t>
      </w:r>
      <w:r w:rsidRPr="007C74A2">
        <w:rPr>
          <w:rFonts w:asciiTheme="minorHAnsi" w:hAnsiTheme="minorHAnsi"/>
          <w:color w:val="auto"/>
          <w:sz w:val="20"/>
          <w:szCs w:val="20"/>
          <w:lang w:val="sr-Cyrl-CS" w:eastAsia="sr-Cyrl-CS"/>
        </w:rPr>
        <w:t xml:space="preserve"> </w:t>
      </w:r>
      <w:r w:rsidR="008F7B16">
        <w:rPr>
          <w:rFonts w:asciiTheme="minorHAnsi" w:hAnsiTheme="minorHAnsi"/>
          <w:color w:val="auto"/>
          <w:sz w:val="20"/>
          <w:szCs w:val="20"/>
          <w:lang w:val="sr-Cyrl-CS" w:eastAsia="sr-Cyrl-CS"/>
        </w:rPr>
        <w:t>износе</w:t>
      </w:r>
      <w:r w:rsidR="003547B5" w:rsidRPr="007C74A2">
        <w:rPr>
          <w:rFonts w:asciiTheme="minorHAnsi" w:hAnsiTheme="minorHAnsi"/>
          <w:color w:val="auto"/>
          <w:sz w:val="20"/>
          <w:szCs w:val="20"/>
          <w:lang w:val="sr-Cyrl-CS" w:eastAsia="sr-Cyrl-CS"/>
        </w:rPr>
        <w:t xml:space="preserve"> </w:t>
      </w:r>
      <w:r w:rsidR="002878D8">
        <w:rPr>
          <w:rFonts w:asciiTheme="minorHAnsi" w:hAnsiTheme="minorHAnsi"/>
          <w:color w:val="auto"/>
          <w:sz w:val="20"/>
          <w:szCs w:val="20"/>
          <w:lang w:val="sr-Cyrl-CS" w:eastAsia="sr-Cyrl-CS"/>
        </w:rPr>
        <w:t>19.218,33</w:t>
      </w:r>
      <w:r w:rsidR="003547B5" w:rsidRPr="007C74A2">
        <w:rPr>
          <w:rFonts w:asciiTheme="minorHAnsi" w:hAnsiTheme="minorHAnsi"/>
          <w:color w:val="auto"/>
          <w:sz w:val="20"/>
          <w:szCs w:val="20"/>
          <w:lang w:val="sr-Cyrl-CS" w:eastAsia="sr-Cyrl-CS"/>
        </w:rPr>
        <w:t xml:space="preserve"> КМ</w:t>
      </w:r>
      <w:r w:rsidR="008F7B16">
        <w:rPr>
          <w:rFonts w:asciiTheme="minorHAnsi" w:hAnsiTheme="minorHAnsi"/>
          <w:color w:val="auto"/>
          <w:sz w:val="20"/>
          <w:szCs w:val="20"/>
          <w:lang w:val="sr-Cyrl-CS" w:eastAsia="sr-Cyrl-CS"/>
        </w:rPr>
        <w:t xml:space="preserve">. </w:t>
      </w:r>
      <w:r w:rsidR="003547B5">
        <w:rPr>
          <w:rFonts w:asciiTheme="minorHAnsi" w:hAnsiTheme="minorHAnsi"/>
          <w:color w:val="auto"/>
          <w:sz w:val="20"/>
          <w:szCs w:val="20"/>
          <w:lang w:val="sr-Cyrl-CS" w:eastAsia="sr-Cyrl-CS"/>
        </w:rPr>
        <w:t xml:space="preserve">Ради се о имовини коју </w:t>
      </w:r>
      <w:r w:rsidR="002878D8">
        <w:rPr>
          <w:rFonts w:asciiTheme="minorHAnsi" w:hAnsiTheme="minorHAnsi"/>
          <w:color w:val="auto"/>
          <w:sz w:val="20"/>
          <w:szCs w:val="20"/>
          <w:lang w:val="sr-Cyrl-CS" w:eastAsia="sr-Cyrl-CS"/>
        </w:rPr>
        <w:t>је</w:t>
      </w:r>
      <w:r w:rsidR="003547B5">
        <w:rPr>
          <w:rFonts w:asciiTheme="minorHAnsi" w:hAnsiTheme="minorHAnsi"/>
          <w:color w:val="auto"/>
          <w:sz w:val="20"/>
          <w:szCs w:val="20"/>
          <w:lang w:val="sr-Cyrl-CS" w:eastAsia="sr-Cyrl-CS"/>
        </w:rPr>
        <w:t xml:space="preserve"> клијент ПР Рој Костајница (</w:t>
      </w:r>
      <w:r w:rsidR="008F7B16">
        <w:rPr>
          <w:rFonts w:asciiTheme="minorHAnsi" w:hAnsiTheme="minorHAnsi"/>
          <w:color w:val="auto"/>
          <w:sz w:val="20"/>
          <w:szCs w:val="20"/>
          <w:lang w:val="sr-Cyrl-CS" w:eastAsia="sr-Cyrl-CS"/>
        </w:rPr>
        <w:t>шума, земљиште</w:t>
      </w:r>
      <w:r w:rsidRPr="007C74A2">
        <w:rPr>
          <w:rFonts w:asciiTheme="minorHAnsi" w:hAnsiTheme="minorHAnsi"/>
          <w:color w:val="auto"/>
          <w:sz w:val="20"/>
          <w:szCs w:val="20"/>
          <w:lang w:val="sr-Cyrl-CS" w:eastAsia="sr-Cyrl-CS"/>
        </w:rPr>
        <w:t>, помоћни објект</w:t>
      </w:r>
      <w:r w:rsidR="003547B5">
        <w:rPr>
          <w:rFonts w:asciiTheme="minorHAnsi" w:hAnsiTheme="minorHAnsi"/>
          <w:color w:val="auto"/>
          <w:sz w:val="20"/>
          <w:szCs w:val="20"/>
          <w:lang w:val="sr-Cyrl-CS" w:eastAsia="sr-Cyrl-CS"/>
        </w:rPr>
        <w:t>и) понуди</w:t>
      </w:r>
      <w:r w:rsidR="002878D8">
        <w:rPr>
          <w:rFonts w:asciiTheme="minorHAnsi" w:hAnsiTheme="minorHAnsi"/>
          <w:color w:val="auto"/>
          <w:sz w:val="20"/>
          <w:szCs w:val="20"/>
          <w:lang w:val="sr-Cyrl-CS" w:eastAsia="sr-Cyrl-CS"/>
        </w:rPr>
        <w:t>о</w:t>
      </w:r>
      <w:r w:rsidR="003547B5">
        <w:rPr>
          <w:rFonts w:asciiTheme="minorHAnsi" w:hAnsiTheme="minorHAnsi"/>
          <w:color w:val="auto"/>
          <w:sz w:val="20"/>
          <w:szCs w:val="20"/>
          <w:lang w:val="sr-Cyrl-CS" w:eastAsia="sr-Cyrl-CS"/>
        </w:rPr>
        <w:t xml:space="preserve"> као средство обезбјеђења по пласма</w:t>
      </w:r>
      <w:r w:rsidR="002878D8">
        <w:rPr>
          <w:rFonts w:asciiTheme="minorHAnsi" w:hAnsiTheme="minorHAnsi"/>
          <w:color w:val="auto"/>
          <w:sz w:val="20"/>
          <w:szCs w:val="20"/>
          <w:lang w:val="sr-Cyrl-CS" w:eastAsia="sr-Cyrl-CS"/>
        </w:rPr>
        <w:t>ну</w:t>
      </w:r>
      <w:r w:rsidR="003547B5">
        <w:rPr>
          <w:rFonts w:asciiTheme="minorHAnsi" w:hAnsiTheme="minorHAnsi"/>
          <w:color w:val="auto"/>
          <w:sz w:val="20"/>
          <w:szCs w:val="20"/>
          <w:lang w:val="sr-Cyrl-CS" w:eastAsia="sr-Cyrl-CS"/>
        </w:rPr>
        <w:t xml:space="preserve"> обезбјеђен</w:t>
      </w:r>
      <w:r w:rsidR="002878D8">
        <w:rPr>
          <w:rFonts w:asciiTheme="minorHAnsi" w:hAnsiTheme="minorHAnsi"/>
          <w:color w:val="auto"/>
          <w:sz w:val="20"/>
          <w:szCs w:val="20"/>
          <w:lang w:val="sr-Cyrl-CS" w:eastAsia="sr-Cyrl-CS"/>
        </w:rPr>
        <w:t>ом</w:t>
      </w:r>
      <w:r w:rsidR="003547B5">
        <w:rPr>
          <w:rFonts w:asciiTheme="minorHAnsi" w:hAnsiTheme="minorHAnsi"/>
          <w:color w:val="auto"/>
          <w:sz w:val="20"/>
          <w:szCs w:val="20"/>
          <w:lang w:val="sr-Cyrl-CS" w:eastAsia="sr-Cyrl-CS"/>
        </w:rPr>
        <w:t xml:space="preserve"> гаранцијом Гарантног фонда. Након проглашења кредита доспјелим и плаћања гаранције</w:t>
      </w:r>
      <w:r w:rsidR="008F7B16">
        <w:rPr>
          <w:rFonts w:asciiTheme="minorHAnsi" w:hAnsiTheme="minorHAnsi"/>
          <w:color w:val="auto"/>
          <w:sz w:val="20"/>
          <w:szCs w:val="20"/>
          <w:lang w:val="sr-Cyrl-CS" w:eastAsia="sr-Cyrl-CS"/>
        </w:rPr>
        <w:t>, покренут је извршни поступак, а оконча</w:t>
      </w:r>
      <w:r w:rsidR="00D63B52">
        <w:rPr>
          <w:rFonts w:asciiTheme="minorHAnsi" w:hAnsiTheme="minorHAnsi"/>
          <w:color w:val="auto"/>
          <w:sz w:val="20"/>
          <w:szCs w:val="20"/>
          <w:lang w:val="sr-Cyrl-CS" w:eastAsia="sr-Cyrl-CS"/>
        </w:rPr>
        <w:t>њем</w:t>
      </w:r>
      <w:r w:rsidR="008F7B16">
        <w:rPr>
          <w:rFonts w:asciiTheme="minorHAnsi" w:hAnsiTheme="minorHAnsi"/>
          <w:color w:val="auto"/>
          <w:sz w:val="20"/>
          <w:szCs w:val="20"/>
          <w:lang w:val="sr-Cyrl-CS" w:eastAsia="sr-Cyrl-CS"/>
        </w:rPr>
        <w:t xml:space="preserve"> истог је донесена судска пресуда којом је наведена имовина постала власништво Гарантног фонда.</w:t>
      </w:r>
    </w:p>
    <w:p w:rsidR="00A64AF6" w:rsidRDefault="00A64AF6" w:rsidP="00A64AF6">
      <w:pPr>
        <w:rPr>
          <w:rFonts w:asciiTheme="minorHAnsi" w:hAnsiTheme="minorHAnsi"/>
          <w:color w:val="auto"/>
          <w:sz w:val="20"/>
          <w:szCs w:val="20"/>
          <w:lang w:val="sr-Cyrl-CS" w:eastAsia="sr-Cyrl-CS"/>
        </w:rPr>
      </w:pPr>
    </w:p>
    <w:p w:rsidR="003547B5" w:rsidRDefault="00A64AF6" w:rsidP="00CB12D5">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Стање ванбилансне евиденције у којој се воде издане </w:t>
      </w:r>
      <w:r w:rsidRPr="0077190E">
        <w:rPr>
          <w:rFonts w:asciiTheme="minorHAnsi" w:hAnsiTheme="minorHAnsi"/>
          <w:color w:val="auto"/>
          <w:sz w:val="20"/>
          <w:szCs w:val="20"/>
          <w:lang w:val="sr-Cyrl-CS" w:eastAsia="sr-Cyrl-CS"/>
        </w:rPr>
        <w:t xml:space="preserve">гаранције је </w:t>
      </w:r>
      <w:r w:rsidR="0077190E" w:rsidRPr="0077190E">
        <w:rPr>
          <w:rFonts w:ascii="Calibri" w:hAnsi="Calibri"/>
          <w:bCs/>
          <w:sz w:val="20"/>
          <w:szCs w:val="20"/>
        </w:rPr>
        <w:t>54.923.015,00</w:t>
      </w:r>
      <w:r w:rsidR="0077190E" w:rsidRPr="0077190E">
        <w:rPr>
          <w:rFonts w:ascii="Calibri" w:hAnsi="Calibri"/>
          <w:bCs/>
          <w:sz w:val="20"/>
          <w:szCs w:val="20"/>
          <w:lang w:val="sr-Cyrl-RS"/>
        </w:rPr>
        <w:t xml:space="preserve"> </w:t>
      </w:r>
      <w:r w:rsidRPr="0077190E">
        <w:rPr>
          <w:rFonts w:asciiTheme="minorHAnsi" w:hAnsiTheme="minorHAnsi"/>
          <w:color w:val="auto"/>
          <w:sz w:val="20"/>
          <w:szCs w:val="20"/>
          <w:lang w:val="sr-Cyrl-CS" w:eastAsia="sr-Cyrl-CS"/>
        </w:rPr>
        <w:t>КМ, те укупна актива Гарантног фонда на дан 31.12.202</w:t>
      </w:r>
      <w:r w:rsidR="0077190E" w:rsidRPr="0077190E">
        <w:rPr>
          <w:rFonts w:asciiTheme="minorHAnsi" w:hAnsiTheme="minorHAnsi"/>
          <w:color w:val="auto"/>
          <w:sz w:val="20"/>
          <w:szCs w:val="20"/>
          <w:lang w:val="sr-Cyrl-CS" w:eastAsia="sr-Cyrl-CS"/>
        </w:rPr>
        <w:t>4</w:t>
      </w:r>
      <w:r w:rsidRPr="0077190E">
        <w:rPr>
          <w:rFonts w:asciiTheme="minorHAnsi" w:hAnsiTheme="minorHAnsi"/>
          <w:color w:val="auto"/>
          <w:sz w:val="20"/>
          <w:szCs w:val="20"/>
          <w:lang w:val="sr-Cyrl-CS" w:eastAsia="sr-Cyrl-CS"/>
        </w:rPr>
        <w:t xml:space="preserve">. године износи </w:t>
      </w:r>
      <w:r w:rsidR="0077190E" w:rsidRPr="0077190E">
        <w:rPr>
          <w:rFonts w:ascii="Calibri" w:hAnsi="Calibri"/>
          <w:bCs/>
          <w:sz w:val="20"/>
          <w:szCs w:val="20"/>
        </w:rPr>
        <w:t>72.729.874,26</w:t>
      </w:r>
      <w:r w:rsidR="0077190E" w:rsidRPr="0077190E">
        <w:rPr>
          <w:rFonts w:ascii="Calibri" w:hAnsi="Calibri"/>
          <w:bCs/>
          <w:sz w:val="20"/>
          <w:szCs w:val="20"/>
          <w:lang w:val="sr-Cyrl-RS"/>
        </w:rPr>
        <w:t xml:space="preserve"> </w:t>
      </w:r>
      <w:r w:rsidRPr="0077190E">
        <w:rPr>
          <w:rFonts w:asciiTheme="minorHAnsi" w:hAnsiTheme="minorHAnsi"/>
          <w:color w:val="auto"/>
          <w:sz w:val="20"/>
          <w:szCs w:val="20"/>
          <w:lang w:val="sr-Cyrl-CS" w:eastAsia="sr-Cyrl-CS"/>
        </w:rPr>
        <w:t>КМ.</w:t>
      </w:r>
    </w:p>
    <w:p w:rsidR="0077190E" w:rsidRPr="00EF4BB3" w:rsidRDefault="0077190E" w:rsidP="00CB12D5">
      <w:pPr>
        <w:rPr>
          <w:rFonts w:asciiTheme="minorHAnsi" w:hAnsiTheme="minorHAnsi"/>
          <w:color w:val="auto"/>
          <w:sz w:val="20"/>
          <w:szCs w:val="20"/>
          <w:lang w:val="sr-Cyrl-CS" w:eastAsia="sr-Cyrl-CS"/>
        </w:rPr>
      </w:pPr>
    </w:p>
    <w:p w:rsidR="001538EF" w:rsidRPr="00EF4BB3" w:rsidRDefault="001538EF" w:rsidP="00E00B0B">
      <w:pPr>
        <w:rPr>
          <w:rFonts w:asciiTheme="minorHAnsi" w:hAnsiTheme="minorHAnsi"/>
          <w:color w:val="FF0000"/>
          <w:sz w:val="20"/>
          <w:szCs w:val="20"/>
          <w:lang w:val="sr-Cyrl-CS" w:eastAsia="sr-Cyrl-CS"/>
        </w:rPr>
      </w:pPr>
      <w:r w:rsidRPr="00EF4BB3">
        <w:rPr>
          <w:rFonts w:asciiTheme="minorHAnsi" w:hAnsiTheme="minorHAnsi"/>
          <w:color w:val="auto"/>
          <w:sz w:val="20"/>
          <w:szCs w:val="20"/>
          <w:lang w:val="sr-Cyrl-CS" w:eastAsia="sr-Cyrl-CS"/>
        </w:rPr>
        <w:t xml:space="preserve">Стање пословне пасиве износи </w:t>
      </w:r>
      <w:r w:rsidR="00EF4BB3" w:rsidRPr="00EF4BB3">
        <w:rPr>
          <w:rFonts w:ascii="Calibri" w:hAnsi="Calibri"/>
          <w:bCs/>
          <w:color w:val="auto"/>
          <w:sz w:val="20"/>
          <w:szCs w:val="20"/>
        </w:rPr>
        <w:t>17.806.859,26</w:t>
      </w:r>
      <w:r w:rsidR="00EF4BB3" w:rsidRPr="00EF4BB3">
        <w:rPr>
          <w:rFonts w:ascii="Calibri" w:hAnsi="Calibri"/>
          <w:bCs/>
          <w:color w:val="auto"/>
          <w:sz w:val="20"/>
          <w:szCs w:val="20"/>
          <w:lang w:val="sr-Cyrl-RS"/>
        </w:rPr>
        <w:t xml:space="preserve"> </w:t>
      </w:r>
      <w:r w:rsidR="00E00B0B" w:rsidRPr="00EF4BB3">
        <w:rPr>
          <w:rFonts w:asciiTheme="minorHAnsi" w:hAnsiTheme="minorHAnsi"/>
          <w:color w:val="auto"/>
          <w:sz w:val="20"/>
          <w:szCs w:val="20"/>
          <w:lang w:val="sr-Cyrl-CS" w:eastAsia="sr-Cyrl-CS"/>
        </w:rPr>
        <w:t>КМ  и чине</w:t>
      </w:r>
      <w:r w:rsidRPr="00EF4BB3">
        <w:rPr>
          <w:rFonts w:asciiTheme="minorHAnsi" w:hAnsiTheme="minorHAnsi"/>
          <w:color w:val="auto"/>
          <w:sz w:val="20"/>
          <w:szCs w:val="20"/>
          <w:lang w:val="sr-Cyrl-CS" w:eastAsia="sr-Cyrl-CS"/>
        </w:rPr>
        <w:t xml:space="preserve"> је :</w:t>
      </w:r>
    </w:p>
    <w:p w:rsidR="001538EF" w:rsidRPr="00EF4BB3" w:rsidRDefault="001538EF" w:rsidP="001538EF">
      <w:pPr>
        <w:ind w:left="708"/>
        <w:jc w:val="left"/>
        <w:rPr>
          <w:rFonts w:asciiTheme="minorHAnsi" w:hAnsiTheme="minorHAnsi"/>
          <w:color w:val="FF0000"/>
          <w:sz w:val="20"/>
          <w:szCs w:val="20"/>
          <w:lang w:val="sr-Cyrl-CS" w:eastAsia="sr-Cyrl-CS"/>
        </w:rPr>
      </w:pPr>
    </w:p>
    <w:p w:rsidR="001538EF" w:rsidRPr="00B77B97" w:rsidRDefault="00E00B0B" w:rsidP="00A64AF6">
      <w:pPr>
        <w:pStyle w:val="ListParagraph"/>
        <w:numPr>
          <w:ilvl w:val="0"/>
          <w:numId w:val="22"/>
        </w:numPr>
        <w:tabs>
          <w:tab w:val="left" w:pos="709"/>
        </w:tabs>
        <w:ind w:left="1134" w:hanging="425"/>
        <w:jc w:val="left"/>
        <w:rPr>
          <w:rFonts w:asciiTheme="minorHAnsi" w:hAnsiTheme="minorHAnsi"/>
          <w:color w:val="auto"/>
          <w:sz w:val="20"/>
          <w:szCs w:val="20"/>
          <w:lang w:val="sr-Cyrl-CS" w:eastAsia="sr-Cyrl-CS"/>
        </w:rPr>
      </w:pPr>
      <w:r w:rsidRPr="00EF4BB3">
        <w:rPr>
          <w:rFonts w:asciiTheme="minorHAnsi" w:hAnsiTheme="minorHAnsi"/>
          <w:b/>
          <w:color w:val="auto"/>
          <w:sz w:val="20"/>
          <w:szCs w:val="20"/>
          <w:lang w:val="sr-Cyrl-CS" w:eastAsia="sr-Cyrl-CS"/>
        </w:rPr>
        <w:t>обавезе</w:t>
      </w:r>
      <w:r w:rsidRPr="00EF4BB3">
        <w:rPr>
          <w:rFonts w:asciiTheme="minorHAnsi" w:hAnsiTheme="minorHAnsi"/>
          <w:color w:val="auto"/>
          <w:sz w:val="20"/>
          <w:szCs w:val="20"/>
          <w:lang w:val="sr-Cyrl-CS" w:eastAsia="sr-Cyrl-CS"/>
        </w:rPr>
        <w:t xml:space="preserve"> у </w:t>
      </w:r>
      <w:r w:rsidRPr="00B77B97">
        <w:rPr>
          <w:rFonts w:asciiTheme="minorHAnsi" w:hAnsiTheme="minorHAnsi"/>
          <w:color w:val="auto"/>
          <w:sz w:val="20"/>
          <w:szCs w:val="20"/>
          <w:lang w:val="sr-Cyrl-CS" w:eastAsia="sr-Cyrl-CS"/>
        </w:rPr>
        <w:t>износу од</w:t>
      </w:r>
      <w:r w:rsidR="001538EF" w:rsidRPr="00B77B97">
        <w:rPr>
          <w:rFonts w:asciiTheme="minorHAnsi" w:hAnsiTheme="minorHAnsi"/>
          <w:color w:val="auto"/>
          <w:sz w:val="20"/>
          <w:szCs w:val="20"/>
          <w:lang w:val="sr-Cyrl-CS" w:eastAsia="sr-Cyrl-CS"/>
        </w:rPr>
        <w:t xml:space="preserve"> </w:t>
      </w:r>
      <w:r w:rsidR="00EF4BB3" w:rsidRPr="00B77B97">
        <w:rPr>
          <w:rFonts w:asciiTheme="minorHAnsi" w:hAnsiTheme="minorHAnsi"/>
          <w:bCs/>
          <w:color w:val="auto"/>
          <w:sz w:val="20"/>
          <w:szCs w:val="20"/>
        </w:rPr>
        <w:t>957.268,83</w:t>
      </w:r>
      <w:r w:rsidR="00EF4BB3" w:rsidRPr="00B77B97">
        <w:rPr>
          <w:rFonts w:asciiTheme="minorHAnsi" w:hAnsiTheme="minorHAnsi"/>
          <w:bCs/>
          <w:color w:val="auto"/>
          <w:sz w:val="20"/>
          <w:szCs w:val="20"/>
          <w:lang w:val="sr-Cyrl-RS"/>
        </w:rPr>
        <w:t xml:space="preserve"> КМ </w:t>
      </w:r>
      <w:r w:rsidR="00EF4BB3" w:rsidRPr="00B77B97">
        <w:rPr>
          <w:rFonts w:asciiTheme="minorHAnsi" w:hAnsiTheme="minorHAnsi"/>
          <w:color w:val="auto"/>
          <w:sz w:val="20"/>
          <w:szCs w:val="20"/>
          <w:lang w:val="sr-Cyrl-CS" w:eastAsia="sr-Cyrl-CS"/>
        </w:rPr>
        <w:t>које се</w:t>
      </w:r>
      <w:r w:rsidRPr="00B77B97">
        <w:rPr>
          <w:rFonts w:asciiTheme="minorHAnsi" w:hAnsiTheme="minorHAnsi"/>
          <w:color w:val="auto"/>
          <w:sz w:val="20"/>
          <w:szCs w:val="20"/>
          <w:lang w:val="sr-Cyrl-CS" w:eastAsia="sr-Cyrl-CS"/>
        </w:rPr>
        <w:t xml:space="preserve"> односе</w:t>
      </w:r>
      <w:r w:rsidR="00EF4BB3" w:rsidRPr="00B77B97">
        <w:rPr>
          <w:rFonts w:asciiTheme="minorHAnsi" w:hAnsiTheme="minorHAnsi"/>
          <w:color w:val="auto"/>
          <w:sz w:val="20"/>
          <w:szCs w:val="20"/>
          <w:lang w:val="sr-Cyrl-CS" w:eastAsia="sr-Cyrl-CS"/>
        </w:rPr>
        <w:t xml:space="preserve"> </w:t>
      </w:r>
      <w:r w:rsidRPr="00B77B97">
        <w:rPr>
          <w:rFonts w:asciiTheme="minorHAnsi" w:hAnsiTheme="minorHAnsi"/>
          <w:color w:val="auto"/>
          <w:sz w:val="20"/>
          <w:szCs w:val="20"/>
          <w:lang w:val="sr-Cyrl-CS" w:eastAsia="sr-Cyrl-CS"/>
        </w:rPr>
        <w:t>на</w:t>
      </w:r>
      <w:r w:rsidR="001538EF" w:rsidRPr="00B77B97">
        <w:rPr>
          <w:rFonts w:asciiTheme="minorHAnsi" w:hAnsiTheme="minorHAnsi"/>
          <w:color w:val="auto"/>
          <w:sz w:val="20"/>
          <w:szCs w:val="20"/>
          <w:lang w:val="sr-Cyrl-CS" w:eastAsia="sr-Cyrl-CS"/>
        </w:rPr>
        <w:t>:</w:t>
      </w:r>
    </w:p>
    <w:p w:rsidR="00E00B0B" w:rsidRPr="00B77B97" w:rsidRDefault="00744537" w:rsidP="00A64AF6">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 xml:space="preserve">обавезе за зараде, </w:t>
      </w:r>
      <w:r w:rsidR="00E00B0B" w:rsidRPr="00B77B97">
        <w:rPr>
          <w:rFonts w:asciiTheme="minorHAnsi" w:hAnsiTheme="minorHAnsi"/>
          <w:color w:val="auto"/>
          <w:sz w:val="20"/>
          <w:szCs w:val="20"/>
          <w:lang w:val="sr-Cyrl-CS" w:eastAsia="sr-Cyrl-CS"/>
        </w:rPr>
        <w:t>накнаде зарада</w:t>
      </w:r>
      <w:r w:rsidRPr="00B77B97">
        <w:rPr>
          <w:rFonts w:asciiTheme="minorHAnsi" w:hAnsiTheme="minorHAnsi"/>
          <w:color w:val="auto"/>
          <w:sz w:val="20"/>
          <w:szCs w:val="20"/>
          <w:lang w:val="sr-Cyrl-CS" w:eastAsia="sr-Cyrl-CS"/>
        </w:rPr>
        <w:t>, порезе и доприносе</w:t>
      </w:r>
      <w:r w:rsidR="00E00B0B" w:rsidRPr="00B77B97">
        <w:rPr>
          <w:rFonts w:asciiTheme="minorHAnsi" w:hAnsiTheme="minorHAnsi"/>
          <w:color w:val="auto"/>
          <w:sz w:val="20"/>
          <w:szCs w:val="20"/>
          <w:lang w:val="sr-Cyrl-CS" w:eastAsia="sr-Cyrl-CS"/>
        </w:rPr>
        <w:t xml:space="preserve"> у износу </w:t>
      </w:r>
      <w:r w:rsidR="00E00B0B" w:rsidRPr="00B77B97">
        <w:rPr>
          <w:rFonts w:asciiTheme="minorHAnsi" w:hAnsiTheme="minorHAnsi"/>
          <w:color w:val="000000" w:themeColor="text1"/>
          <w:sz w:val="20"/>
          <w:szCs w:val="20"/>
          <w:lang w:val="sr-Cyrl-CS" w:eastAsia="sr-Cyrl-CS"/>
        </w:rPr>
        <w:t xml:space="preserve">од </w:t>
      </w:r>
      <w:r w:rsidRPr="00B77B97">
        <w:rPr>
          <w:rFonts w:asciiTheme="minorHAnsi" w:hAnsiTheme="minorHAnsi"/>
          <w:color w:val="000000" w:themeColor="text1"/>
          <w:sz w:val="20"/>
          <w:szCs w:val="20"/>
          <w:lang w:val="sr-Cyrl-CS" w:eastAsia="sr-Cyrl-CS"/>
        </w:rPr>
        <w:t>103.257,35</w:t>
      </w:r>
      <w:r w:rsidR="00702D51" w:rsidRPr="00B77B97">
        <w:rPr>
          <w:rFonts w:asciiTheme="minorHAnsi" w:hAnsiTheme="minorHAnsi"/>
          <w:color w:val="000000" w:themeColor="text1"/>
          <w:sz w:val="20"/>
          <w:szCs w:val="20"/>
          <w:lang w:val="sr-Cyrl-CS" w:eastAsia="sr-Cyrl-CS"/>
        </w:rPr>
        <w:t xml:space="preserve"> </w:t>
      </w:r>
      <w:r w:rsidR="00E00B0B" w:rsidRPr="00B77B97">
        <w:rPr>
          <w:rFonts w:asciiTheme="minorHAnsi" w:hAnsiTheme="minorHAnsi"/>
          <w:color w:val="000000" w:themeColor="text1"/>
          <w:sz w:val="20"/>
          <w:szCs w:val="20"/>
          <w:lang w:val="sr-Cyrl-CS" w:eastAsia="sr-Cyrl-CS"/>
        </w:rPr>
        <w:t>КМ</w:t>
      </w:r>
      <w:r w:rsidR="00B77B97">
        <w:rPr>
          <w:rFonts w:asciiTheme="minorHAnsi" w:hAnsiTheme="minorHAnsi"/>
          <w:color w:val="auto"/>
          <w:sz w:val="20"/>
          <w:szCs w:val="20"/>
          <w:lang w:val="sr-Cyrl-CS" w:eastAsia="sr-Cyrl-CS"/>
        </w:rPr>
        <w:t xml:space="preserve"> </w:t>
      </w:r>
      <w:r w:rsidR="00E00B0B" w:rsidRPr="00B77B97">
        <w:rPr>
          <w:rFonts w:asciiTheme="minorHAnsi" w:hAnsiTheme="minorHAnsi"/>
          <w:color w:val="auto"/>
          <w:sz w:val="20"/>
          <w:szCs w:val="20"/>
          <w:lang w:val="sr-Cyrl-CS" w:eastAsia="sr-Cyrl-CS"/>
        </w:rPr>
        <w:t>односе се на обрачунате</w:t>
      </w:r>
      <w:r w:rsidR="00702D51" w:rsidRPr="00B77B97">
        <w:rPr>
          <w:rFonts w:asciiTheme="minorHAnsi" w:hAnsiTheme="minorHAnsi"/>
          <w:color w:val="auto"/>
          <w:sz w:val="20"/>
          <w:szCs w:val="20"/>
          <w:lang w:val="sr-Cyrl-CS" w:eastAsia="sr-Cyrl-CS"/>
        </w:rPr>
        <w:t>,</w:t>
      </w:r>
      <w:r w:rsidR="00E00B0B" w:rsidRPr="00B77B97">
        <w:rPr>
          <w:rFonts w:asciiTheme="minorHAnsi" w:hAnsiTheme="minorHAnsi"/>
          <w:color w:val="auto"/>
          <w:sz w:val="20"/>
          <w:szCs w:val="20"/>
          <w:lang w:val="sr-Cyrl-CS" w:eastAsia="sr-Cyrl-CS"/>
        </w:rPr>
        <w:t xml:space="preserve"> а неи</w:t>
      </w:r>
      <w:r w:rsidR="00702D51" w:rsidRPr="00B77B97">
        <w:rPr>
          <w:rFonts w:asciiTheme="minorHAnsi" w:hAnsiTheme="minorHAnsi"/>
          <w:color w:val="auto"/>
          <w:sz w:val="20"/>
          <w:szCs w:val="20"/>
          <w:lang w:val="sr-Cyrl-CS" w:eastAsia="sr-Cyrl-CS"/>
        </w:rPr>
        <w:t>сплаћене плате за децембар 202</w:t>
      </w:r>
      <w:r w:rsidRPr="00B77B97">
        <w:rPr>
          <w:rFonts w:asciiTheme="minorHAnsi" w:hAnsiTheme="minorHAnsi"/>
          <w:color w:val="auto"/>
          <w:sz w:val="20"/>
          <w:szCs w:val="20"/>
          <w:lang w:val="sr-Cyrl-CS" w:eastAsia="sr-Cyrl-CS"/>
        </w:rPr>
        <w:t>4</w:t>
      </w:r>
      <w:r w:rsidR="00702D51" w:rsidRPr="00B77B97">
        <w:rPr>
          <w:rFonts w:asciiTheme="minorHAnsi" w:hAnsiTheme="minorHAnsi"/>
          <w:color w:val="auto"/>
          <w:sz w:val="20"/>
          <w:szCs w:val="20"/>
          <w:lang w:val="sr-Cyrl-CS" w:eastAsia="sr-Cyrl-CS"/>
        </w:rPr>
        <w:t>. године. Ова обавеза настаје јер се плате за децембар</w:t>
      </w:r>
      <w:r w:rsidR="00E00B0B" w:rsidRPr="00B77B97">
        <w:rPr>
          <w:rFonts w:asciiTheme="minorHAnsi" w:hAnsiTheme="minorHAnsi"/>
          <w:color w:val="auto"/>
          <w:sz w:val="20"/>
          <w:szCs w:val="20"/>
          <w:lang w:val="sr-Cyrl-CS" w:eastAsia="sr-Cyrl-CS"/>
        </w:rPr>
        <w:t xml:space="preserve"> исплаћуј</w:t>
      </w:r>
      <w:r w:rsidR="00702D51" w:rsidRPr="00B77B97">
        <w:rPr>
          <w:rFonts w:asciiTheme="minorHAnsi" w:hAnsiTheme="minorHAnsi"/>
          <w:color w:val="auto"/>
          <w:sz w:val="20"/>
          <w:szCs w:val="20"/>
          <w:lang w:val="sr-Cyrl-CS" w:eastAsia="sr-Cyrl-CS"/>
        </w:rPr>
        <w:t>у по истеку обрачунског мјесеца, односно у јануару 202</w:t>
      </w:r>
      <w:r w:rsidRPr="00B77B97">
        <w:rPr>
          <w:rFonts w:asciiTheme="minorHAnsi" w:hAnsiTheme="minorHAnsi"/>
          <w:color w:val="auto"/>
          <w:sz w:val="20"/>
          <w:szCs w:val="20"/>
          <w:lang w:val="sr-Cyrl-CS" w:eastAsia="sr-Cyrl-CS"/>
        </w:rPr>
        <w:t>5</w:t>
      </w:r>
      <w:r w:rsidR="00702D51" w:rsidRPr="00B77B97">
        <w:rPr>
          <w:rFonts w:asciiTheme="minorHAnsi" w:hAnsiTheme="minorHAnsi"/>
          <w:color w:val="auto"/>
          <w:sz w:val="20"/>
          <w:szCs w:val="20"/>
          <w:lang w:val="sr-Cyrl-CS" w:eastAsia="sr-Cyrl-CS"/>
        </w:rPr>
        <w:t>. године</w:t>
      </w:r>
      <w:r w:rsidR="007D276B">
        <w:rPr>
          <w:rFonts w:asciiTheme="minorHAnsi" w:hAnsiTheme="minorHAnsi"/>
          <w:color w:val="auto"/>
          <w:sz w:val="20"/>
          <w:szCs w:val="20"/>
          <w:lang w:val="sr-Cyrl-CS" w:eastAsia="sr-Cyrl-CS"/>
        </w:rPr>
        <w:t>;</w:t>
      </w:r>
    </w:p>
    <w:p w:rsidR="001538EF" w:rsidRPr="00B77B97"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остале обавезе у</w:t>
      </w:r>
      <w:r w:rsidR="001F539D" w:rsidRPr="00B77B97">
        <w:rPr>
          <w:rFonts w:asciiTheme="minorHAnsi" w:hAnsiTheme="minorHAnsi"/>
          <w:color w:val="auto"/>
          <w:sz w:val="20"/>
          <w:szCs w:val="20"/>
          <w:lang w:val="sr-Cyrl-CS" w:eastAsia="sr-Cyrl-CS"/>
        </w:rPr>
        <w:t xml:space="preserve"> износу од </w:t>
      </w:r>
      <w:r w:rsidR="00744537" w:rsidRPr="00B77B97">
        <w:rPr>
          <w:rFonts w:asciiTheme="minorHAnsi" w:hAnsiTheme="minorHAnsi"/>
          <w:color w:val="auto"/>
          <w:sz w:val="20"/>
          <w:szCs w:val="20"/>
        </w:rPr>
        <w:t>44.973,32</w:t>
      </w:r>
      <w:r w:rsidR="00744537" w:rsidRPr="00B77B97">
        <w:rPr>
          <w:rFonts w:asciiTheme="minorHAnsi" w:hAnsiTheme="minorHAnsi"/>
          <w:color w:val="auto"/>
          <w:sz w:val="20"/>
          <w:szCs w:val="20"/>
          <w:lang w:val="sr-Cyrl-RS"/>
        </w:rPr>
        <w:t xml:space="preserve"> </w:t>
      </w:r>
      <w:r w:rsidR="00F13F96" w:rsidRPr="00B77B97">
        <w:rPr>
          <w:rFonts w:asciiTheme="minorHAnsi" w:hAnsiTheme="minorHAnsi"/>
          <w:color w:val="auto"/>
          <w:sz w:val="20"/>
          <w:szCs w:val="20"/>
          <w:lang w:val="sr-Cyrl-CS" w:eastAsia="sr-Cyrl-CS"/>
        </w:rPr>
        <w:t xml:space="preserve">КМ </w:t>
      </w:r>
      <w:r w:rsidR="00B77B97">
        <w:rPr>
          <w:rFonts w:asciiTheme="minorHAnsi" w:hAnsiTheme="minorHAnsi"/>
          <w:color w:val="auto"/>
          <w:sz w:val="20"/>
          <w:szCs w:val="20"/>
          <w:lang w:val="sr-Cyrl-CS" w:eastAsia="sr-Cyrl-CS"/>
        </w:rPr>
        <w:t>обухватају обавезе према добав</w:t>
      </w:r>
      <w:r w:rsidR="00C554F6" w:rsidRPr="00B77B97">
        <w:rPr>
          <w:rFonts w:asciiTheme="minorHAnsi" w:hAnsiTheme="minorHAnsi"/>
          <w:color w:val="auto"/>
          <w:sz w:val="20"/>
          <w:szCs w:val="20"/>
          <w:lang w:val="sr-Cyrl-CS" w:eastAsia="sr-Cyrl-CS"/>
        </w:rPr>
        <w:t>љачима, обавезе по основу при</w:t>
      </w:r>
      <w:r w:rsidR="00B77B97">
        <w:rPr>
          <w:rFonts w:asciiTheme="minorHAnsi" w:hAnsiTheme="minorHAnsi"/>
          <w:color w:val="auto"/>
          <w:sz w:val="20"/>
          <w:szCs w:val="20"/>
          <w:lang w:val="sr-Cyrl-CS" w:eastAsia="sr-Cyrl-CS"/>
        </w:rPr>
        <w:t xml:space="preserve">мљених аванса, </w:t>
      </w:r>
      <w:r w:rsidR="00B77B97" w:rsidRPr="00B77B97">
        <w:rPr>
          <w:rFonts w:asciiTheme="minorHAnsi" w:hAnsiTheme="minorHAnsi"/>
          <w:color w:val="auto"/>
          <w:sz w:val="20"/>
          <w:szCs w:val="20"/>
          <w:lang w:val="sr-Cyrl-CS" w:eastAsia="sr-Cyrl-CS"/>
        </w:rPr>
        <w:t>те обавезе за отпремнину и</w:t>
      </w:r>
      <w:r w:rsidR="00B77B97">
        <w:rPr>
          <w:rFonts w:asciiTheme="minorHAnsi" w:hAnsiTheme="minorHAnsi"/>
          <w:color w:val="auto"/>
          <w:sz w:val="20"/>
          <w:szCs w:val="20"/>
          <w:lang w:val="sr-Cyrl-CS" w:eastAsia="sr-Cyrl-CS"/>
        </w:rPr>
        <w:t xml:space="preserve"> о</w:t>
      </w:r>
      <w:r w:rsidR="007D276B">
        <w:rPr>
          <w:rFonts w:asciiTheme="minorHAnsi" w:hAnsiTheme="minorHAnsi"/>
          <w:color w:val="auto"/>
          <w:sz w:val="20"/>
          <w:szCs w:val="20"/>
          <w:lang w:val="sr-Cyrl-CS" w:eastAsia="sr-Cyrl-CS"/>
        </w:rPr>
        <w:t>стале обавезе према запосленима;</w:t>
      </w:r>
    </w:p>
    <w:p w:rsidR="001538EF" w:rsidRPr="00B77B97"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 xml:space="preserve">резервисања за покриће </w:t>
      </w:r>
      <w:r w:rsidR="007C2E76" w:rsidRPr="00B77B97">
        <w:rPr>
          <w:rFonts w:asciiTheme="minorHAnsi" w:hAnsiTheme="minorHAnsi"/>
          <w:color w:val="auto"/>
          <w:sz w:val="20"/>
          <w:szCs w:val="20"/>
          <w:lang w:val="sr-Cyrl-CS" w:eastAsia="sr-Cyrl-CS"/>
        </w:rPr>
        <w:t>губитака по ванбилансној активи, односно изданим гаранцијама</w:t>
      </w:r>
      <w:r w:rsidRPr="00B77B97">
        <w:rPr>
          <w:rFonts w:asciiTheme="minorHAnsi" w:hAnsiTheme="minorHAnsi"/>
          <w:color w:val="auto"/>
          <w:sz w:val="20"/>
          <w:szCs w:val="20"/>
          <w:lang w:val="sr-Cyrl-CS" w:eastAsia="sr-Cyrl-CS"/>
        </w:rPr>
        <w:t xml:space="preserve"> у износу од </w:t>
      </w:r>
      <w:r w:rsidR="00EF4BB3" w:rsidRPr="00B77B97">
        <w:rPr>
          <w:rFonts w:asciiTheme="minorHAnsi" w:hAnsiTheme="minorHAnsi"/>
          <w:color w:val="auto"/>
          <w:sz w:val="20"/>
          <w:szCs w:val="20"/>
          <w:lang w:val="sr-Cyrl-CS" w:eastAsia="sr-Cyrl-CS"/>
        </w:rPr>
        <w:t>679.650,24</w:t>
      </w:r>
      <w:r w:rsidR="00702D51" w:rsidRPr="00B77B97">
        <w:rPr>
          <w:rFonts w:asciiTheme="minorHAnsi" w:hAnsiTheme="minorHAnsi"/>
          <w:color w:val="auto"/>
          <w:sz w:val="20"/>
          <w:szCs w:val="20"/>
          <w:lang w:val="sr-Cyrl-CS" w:eastAsia="sr-Cyrl-CS"/>
        </w:rPr>
        <w:t xml:space="preserve"> </w:t>
      </w:r>
      <w:r w:rsidRPr="00B77B97">
        <w:rPr>
          <w:rFonts w:asciiTheme="minorHAnsi" w:hAnsiTheme="minorHAnsi"/>
          <w:color w:val="auto"/>
          <w:sz w:val="20"/>
          <w:szCs w:val="20"/>
          <w:lang w:val="sr-Cyrl-CS" w:eastAsia="sr-Cyrl-CS"/>
        </w:rPr>
        <w:t>КМ</w:t>
      </w:r>
      <w:r w:rsidR="007D276B">
        <w:rPr>
          <w:rFonts w:asciiTheme="minorHAnsi" w:hAnsiTheme="minorHAnsi"/>
          <w:color w:val="auto"/>
          <w:sz w:val="20"/>
          <w:szCs w:val="20"/>
          <w:lang w:val="sr-Cyrl-CS" w:eastAsia="sr-Cyrl-CS"/>
        </w:rPr>
        <w:t>;</w:t>
      </w:r>
    </w:p>
    <w:p w:rsidR="001538EF" w:rsidRPr="00B77B97" w:rsidRDefault="001538EF" w:rsidP="00A64AF6">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 xml:space="preserve">пасивна временска разграничења (ПВР) у износу од </w:t>
      </w:r>
      <w:r w:rsidR="00EF4BB3" w:rsidRPr="00B77B97">
        <w:rPr>
          <w:rFonts w:asciiTheme="minorHAnsi" w:hAnsiTheme="minorHAnsi"/>
          <w:color w:val="auto"/>
          <w:sz w:val="20"/>
          <w:szCs w:val="20"/>
          <w:lang w:val="sr-Cyrl-CS" w:eastAsia="sr-Cyrl-CS"/>
        </w:rPr>
        <w:t xml:space="preserve">118.628,90 </w:t>
      </w:r>
      <w:r w:rsidRPr="00B77B97">
        <w:rPr>
          <w:rFonts w:asciiTheme="minorHAnsi" w:hAnsiTheme="minorHAnsi"/>
          <w:color w:val="auto"/>
          <w:sz w:val="20"/>
          <w:szCs w:val="20"/>
          <w:lang w:val="sr-Cyrl-CS" w:eastAsia="sr-Cyrl-CS"/>
        </w:rPr>
        <w:t>КМ</w:t>
      </w:r>
      <w:r w:rsidR="007C2E76" w:rsidRPr="00B77B97">
        <w:rPr>
          <w:rFonts w:asciiTheme="minorHAnsi" w:hAnsiTheme="minorHAnsi"/>
          <w:color w:val="auto"/>
          <w:sz w:val="20"/>
          <w:szCs w:val="20"/>
          <w:lang w:val="sr-Cyrl-CS" w:eastAsia="sr-Cyrl-CS"/>
        </w:rPr>
        <w:t>,</w:t>
      </w:r>
      <w:r w:rsidRPr="00B77B97">
        <w:rPr>
          <w:rFonts w:asciiTheme="minorHAnsi" w:hAnsiTheme="minorHAnsi"/>
          <w:color w:val="auto"/>
          <w:sz w:val="20"/>
          <w:szCs w:val="20"/>
          <w:lang w:val="sr-Cyrl-CS" w:eastAsia="sr-Cyrl-CS"/>
        </w:rPr>
        <w:t xml:space="preserve"> а односе се на разграничене приходе од накнада за кредитни портфељ у износу од </w:t>
      </w:r>
      <w:r w:rsidR="00C554F6" w:rsidRPr="00B77B97">
        <w:rPr>
          <w:rFonts w:asciiTheme="minorHAnsi" w:hAnsiTheme="minorHAnsi"/>
          <w:color w:val="auto"/>
          <w:sz w:val="20"/>
          <w:szCs w:val="20"/>
          <w:lang w:val="sr-Cyrl-CS" w:eastAsia="sr-Cyrl-CS"/>
        </w:rPr>
        <w:t>22.293,24</w:t>
      </w:r>
      <w:r w:rsidRPr="00B77B97">
        <w:rPr>
          <w:rFonts w:asciiTheme="minorHAnsi" w:hAnsiTheme="minorHAnsi"/>
          <w:color w:val="auto"/>
          <w:sz w:val="20"/>
          <w:szCs w:val="20"/>
          <w:lang w:val="sr-Cyrl-CS" w:eastAsia="sr-Cyrl-CS"/>
        </w:rPr>
        <w:t xml:space="preserve"> КМ и разграничене приходе за потраживања по амортизационој вриједности премија по основу изданих редовних гаранција и гар</w:t>
      </w:r>
      <w:r w:rsidR="007C2E76" w:rsidRPr="00B77B97">
        <w:rPr>
          <w:rFonts w:asciiTheme="minorHAnsi" w:hAnsiTheme="minorHAnsi"/>
          <w:color w:val="auto"/>
          <w:sz w:val="20"/>
          <w:szCs w:val="20"/>
          <w:lang w:val="sr-Cyrl-CS" w:eastAsia="sr-Cyrl-CS"/>
        </w:rPr>
        <w:t>ан</w:t>
      </w:r>
      <w:r w:rsidRPr="00B77B97">
        <w:rPr>
          <w:rFonts w:asciiTheme="minorHAnsi" w:hAnsiTheme="minorHAnsi"/>
          <w:color w:val="auto"/>
          <w:sz w:val="20"/>
          <w:szCs w:val="20"/>
          <w:lang w:val="sr-Cyrl-CS" w:eastAsia="sr-Cyrl-CS"/>
        </w:rPr>
        <w:t>ција из кредитн</w:t>
      </w:r>
      <w:r w:rsidR="007C2E76" w:rsidRPr="00B77B97">
        <w:rPr>
          <w:rFonts w:asciiTheme="minorHAnsi" w:hAnsiTheme="minorHAnsi"/>
          <w:color w:val="auto"/>
          <w:sz w:val="20"/>
          <w:szCs w:val="20"/>
          <w:lang w:val="sr-Cyrl-CS" w:eastAsia="sr-Cyrl-CS"/>
        </w:rPr>
        <w:t xml:space="preserve">ог портфеља у износу од  </w:t>
      </w:r>
      <w:r w:rsidR="00C554F6" w:rsidRPr="00B77B97">
        <w:rPr>
          <w:rFonts w:asciiTheme="minorHAnsi" w:hAnsiTheme="minorHAnsi"/>
          <w:color w:val="auto"/>
          <w:sz w:val="20"/>
          <w:szCs w:val="20"/>
          <w:lang w:val="sr-Cyrl-CS" w:eastAsia="sr-Cyrl-CS"/>
        </w:rPr>
        <w:t>96.335,66</w:t>
      </w:r>
      <w:r w:rsidR="007C2E76" w:rsidRPr="00B77B97">
        <w:rPr>
          <w:rFonts w:asciiTheme="minorHAnsi" w:hAnsiTheme="minorHAnsi"/>
          <w:color w:val="auto"/>
          <w:sz w:val="20"/>
          <w:szCs w:val="20"/>
          <w:lang w:val="sr-Cyrl-CS" w:eastAsia="sr-Cyrl-CS"/>
        </w:rPr>
        <w:t xml:space="preserve"> </w:t>
      </w:r>
      <w:r w:rsidRPr="00B77B97">
        <w:rPr>
          <w:rFonts w:asciiTheme="minorHAnsi" w:hAnsiTheme="minorHAnsi" w:cs="Calibri"/>
          <w:color w:val="auto"/>
          <w:sz w:val="20"/>
          <w:szCs w:val="20"/>
          <w:lang w:val="sr-Cyrl-CS" w:eastAsia="sr-Cyrl-CS"/>
        </w:rPr>
        <w:t>КМ</w:t>
      </w:r>
      <w:r w:rsidR="007D276B">
        <w:rPr>
          <w:rFonts w:asciiTheme="minorHAnsi" w:hAnsiTheme="minorHAnsi" w:cs="Calibri"/>
          <w:color w:val="auto"/>
          <w:sz w:val="20"/>
          <w:szCs w:val="20"/>
          <w:lang w:val="sr-Cyrl-CS" w:eastAsia="sr-Cyrl-CS"/>
        </w:rPr>
        <w:t>;</w:t>
      </w:r>
    </w:p>
    <w:p w:rsidR="00B77B97" w:rsidRPr="00B77B97" w:rsidRDefault="007C2E76" w:rsidP="00B77B97">
      <w:pPr>
        <w:pStyle w:val="ListParagraph"/>
        <w:numPr>
          <w:ilvl w:val="0"/>
          <w:numId w:val="24"/>
        </w:numPr>
        <w:ind w:left="1134" w:hanging="425"/>
        <w:rPr>
          <w:rFonts w:asciiTheme="minorHAnsi" w:hAnsiTheme="minorHAnsi"/>
          <w:color w:val="FF0000"/>
          <w:sz w:val="20"/>
          <w:szCs w:val="20"/>
          <w:lang w:val="sr-Cyrl-CS" w:eastAsia="sr-Cyrl-CS"/>
        </w:rPr>
      </w:pPr>
      <w:r w:rsidRPr="00A64AF6">
        <w:rPr>
          <w:rFonts w:asciiTheme="minorHAnsi" w:hAnsiTheme="minorHAnsi"/>
          <w:color w:val="auto"/>
          <w:sz w:val="20"/>
          <w:szCs w:val="20"/>
          <w:lang w:val="sr-Cyrl-CS" w:eastAsia="sr-Cyrl-CS"/>
        </w:rPr>
        <w:t xml:space="preserve">обавезе у страној валути износе 10.759,02 КМ, а односе се на обавезу по основу накнаде </w:t>
      </w:r>
      <w:r>
        <w:rPr>
          <w:rFonts w:asciiTheme="minorHAnsi" w:hAnsiTheme="minorHAnsi"/>
          <w:color w:val="auto"/>
          <w:sz w:val="20"/>
          <w:szCs w:val="20"/>
          <w:lang w:val="sr-Cyrl-CS" w:eastAsia="sr-Cyrl-CS"/>
        </w:rPr>
        <w:t>за чланство у Европској асоцијацији гарантних фондова</w:t>
      </w:r>
      <w:r w:rsidR="00B77B97">
        <w:rPr>
          <w:rFonts w:asciiTheme="minorHAnsi" w:hAnsiTheme="minorHAnsi"/>
          <w:color w:val="auto"/>
          <w:sz w:val="20"/>
          <w:szCs w:val="20"/>
          <w:lang w:val="sr-Cyrl-CS" w:eastAsia="sr-Cyrl-CS"/>
        </w:rPr>
        <w:t>.</w:t>
      </w:r>
      <w:r>
        <w:rPr>
          <w:rFonts w:asciiTheme="minorHAnsi" w:hAnsiTheme="minorHAnsi"/>
          <w:color w:val="auto"/>
          <w:sz w:val="20"/>
          <w:szCs w:val="20"/>
          <w:lang w:val="sr-Cyrl-CS" w:eastAsia="sr-Cyrl-CS"/>
        </w:rPr>
        <w:t xml:space="preserve"> </w:t>
      </w:r>
    </w:p>
    <w:p w:rsidR="00B77B97" w:rsidRDefault="00B77B97" w:rsidP="00B77B97">
      <w:pPr>
        <w:rPr>
          <w:rFonts w:asciiTheme="minorHAnsi" w:hAnsiTheme="minorHAnsi"/>
          <w:color w:val="auto"/>
          <w:sz w:val="20"/>
          <w:szCs w:val="20"/>
          <w:lang w:val="sr-Cyrl-CS" w:eastAsia="sr-Cyrl-CS"/>
        </w:rPr>
      </w:pPr>
    </w:p>
    <w:p w:rsidR="00B77B97" w:rsidRDefault="00B77B97" w:rsidP="00B77B97">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Обавезе у 2024. години су мање за 68% у односу на 2023. годину. Смањење је забиљежено на готово свим позицијама, али је највећи утицај имало измирење обавез</w:t>
      </w:r>
      <w:r w:rsidR="007D276B">
        <w:rPr>
          <w:rFonts w:asciiTheme="minorHAnsi" w:hAnsiTheme="minorHAnsi"/>
          <w:color w:val="auto"/>
          <w:sz w:val="20"/>
          <w:szCs w:val="20"/>
          <w:lang w:val="sr-Cyrl-CS" w:eastAsia="sr-Cyrl-CS"/>
        </w:rPr>
        <w:t>а</w:t>
      </w:r>
      <w:r>
        <w:rPr>
          <w:rFonts w:asciiTheme="minorHAnsi" w:hAnsiTheme="minorHAnsi"/>
          <w:color w:val="auto"/>
          <w:sz w:val="20"/>
          <w:szCs w:val="20"/>
          <w:lang w:val="sr-Cyrl-CS" w:eastAsia="sr-Cyrl-CS"/>
        </w:rPr>
        <w:t xml:space="preserve"> по основ</w:t>
      </w:r>
      <w:r w:rsidR="003D0D57">
        <w:rPr>
          <w:rFonts w:asciiTheme="minorHAnsi" w:hAnsiTheme="minorHAnsi"/>
          <w:color w:val="auto"/>
          <w:sz w:val="20"/>
          <w:szCs w:val="20"/>
          <w:lang w:val="sr-Cyrl-CS" w:eastAsia="sr-Cyrl-CS"/>
        </w:rPr>
        <w:t>у активиране гаранције, које</w:t>
      </w:r>
      <w:r w:rsidR="003D0D57" w:rsidRPr="003D0D57">
        <w:rPr>
          <w:rFonts w:asciiTheme="minorHAnsi" w:hAnsiTheme="minorHAnsi"/>
          <w:color w:val="auto"/>
          <w:sz w:val="20"/>
          <w:szCs w:val="20"/>
          <w:lang w:val="sr-Cyrl-CS" w:eastAsia="sr-Cyrl-CS"/>
        </w:rPr>
        <w:t xml:space="preserve"> </w:t>
      </w:r>
      <w:r w:rsidR="003D0D57">
        <w:rPr>
          <w:rFonts w:asciiTheme="minorHAnsi" w:hAnsiTheme="minorHAnsi"/>
          <w:color w:val="auto"/>
          <w:sz w:val="20"/>
          <w:szCs w:val="20"/>
          <w:lang w:val="sr-Cyrl-CS" w:eastAsia="sr-Cyrl-CS"/>
        </w:rPr>
        <w:t>су чиниле</w:t>
      </w:r>
      <w:r w:rsidR="003D0D57" w:rsidRPr="00B77B97">
        <w:rPr>
          <w:rFonts w:asciiTheme="minorHAnsi" w:hAnsiTheme="minorHAnsi"/>
          <w:color w:val="auto"/>
          <w:sz w:val="20"/>
          <w:szCs w:val="20"/>
          <w:lang w:val="sr-Cyrl-CS" w:eastAsia="sr-Cyrl-CS"/>
        </w:rPr>
        <w:t xml:space="preserve"> више од половине обавеза Гарантног фонда у 2023. години</w:t>
      </w:r>
      <w:r w:rsidR="003D0D57">
        <w:rPr>
          <w:rFonts w:asciiTheme="minorHAnsi" w:hAnsiTheme="minorHAnsi"/>
          <w:color w:val="auto"/>
          <w:sz w:val="20"/>
          <w:szCs w:val="20"/>
          <w:lang w:val="sr-Cyrl-CS" w:eastAsia="sr-Cyrl-CS"/>
        </w:rPr>
        <w:t>.</w:t>
      </w:r>
    </w:p>
    <w:p w:rsidR="0090194B" w:rsidRDefault="0090194B" w:rsidP="00B77B97">
      <w:pPr>
        <w:rPr>
          <w:rFonts w:asciiTheme="minorHAnsi" w:hAnsiTheme="minorHAnsi"/>
          <w:color w:val="auto"/>
          <w:sz w:val="20"/>
          <w:szCs w:val="20"/>
          <w:lang w:val="sr-Cyrl-CS" w:eastAsia="sr-Cyrl-CS"/>
        </w:rPr>
      </w:pPr>
    </w:p>
    <w:p w:rsidR="00744537" w:rsidRPr="00B77B97" w:rsidRDefault="00B77B97" w:rsidP="00B77B97">
      <w:pPr>
        <w:rPr>
          <w:rFonts w:asciiTheme="minorHAnsi" w:hAnsiTheme="minorHAnsi"/>
          <w:color w:val="FF0000"/>
          <w:sz w:val="20"/>
          <w:szCs w:val="20"/>
          <w:lang w:val="sr-Cyrl-CS" w:eastAsia="sr-Cyrl-CS"/>
        </w:rPr>
      </w:pPr>
      <w:r>
        <w:rPr>
          <w:rFonts w:asciiTheme="minorHAnsi" w:hAnsiTheme="minorHAnsi"/>
          <w:color w:val="auto"/>
          <w:sz w:val="20"/>
          <w:szCs w:val="20"/>
          <w:lang w:val="sr-Cyrl-CS" w:eastAsia="sr-Cyrl-CS"/>
        </w:rPr>
        <w:t xml:space="preserve">У 2023. години је завршен судски поступак између Нове банке а.д. Бања Лука и Гарантног фонда у вези са гаранцијом за клијента Мане комерц д.о.о. </w:t>
      </w:r>
      <w:r w:rsidR="007D276B">
        <w:rPr>
          <w:rFonts w:asciiTheme="minorHAnsi" w:hAnsiTheme="minorHAnsi"/>
          <w:color w:val="auto"/>
          <w:sz w:val="20"/>
          <w:szCs w:val="20"/>
          <w:lang w:val="sr-Cyrl-CS" w:eastAsia="sr-Cyrl-CS"/>
        </w:rPr>
        <w:t>након којег је настала обавеза Фонда да плати гаранцију у износу од 1.485.962,50 КМ и</w:t>
      </w:r>
      <w:r w:rsidR="007D276B" w:rsidRPr="007D276B">
        <w:rPr>
          <w:rFonts w:asciiTheme="minorHAnsi" w:hAnsiTheme="minorHAnsi"/>
          <w:color w:val="auto"/>
          <w:sz w:val="20"/>
          <w:szCs w:val="20"/>
          <w:lang w:val="sr-Cyrl-CS" w:eastAsia="sr-Cyrl-CS"/>
        </w:rPr>
        <w:t xml:space="preserve"> </w:t>
      </w:r>
      <w:r w:rsidR="007D276B">
        <w:rPr>
          <w:rFonts w:asciiTheme="minorHAnsi" w:hAnsiTheme="minorHAnsi"/>
          <w:color w:val="auto"/>
          <w:sz w:val="20"/>
          <w:szCs w:val="20"/>
          <w:lang w:val="sr-Cyrl-CS" w:eastAsia="sr-Cyrl-CS"/>
        </w:rPr>
        <w:t>камату у износу од 288.993,46 КМ. Споразумом између Нове банке као корисника гаранције и Фонда</w:t>
      </w:r>
      <w:r w:rsidR="003D0D57">
        <w:rPr>
          <w:rFonts w:asciiTheme="minorHAnsi" w:hAnsiTheme="minorHAnsi"/>
          <w:color w:val="auto"/>
          <w:sz w:val="20"/>
          <w:szCs w:val="20"/>
          <w:lang w:val="sr-Cyrl-CS" w:eastAsia="sr-Cyrl-CS"/>
        </w:rPr>
        <w:t>,</w:t>
      </w:r>
      <w:r w:rsidR="007D276B">
        <w:rPr>
          <w:rFonts w:asciiTheme="minorHAnsi" w:hAnsiTheme="minorHAnsi"/>
          <w:color w:val="auto"/>
          <w:sz w:val="20"/>
          <w:szCs w:val="20"/>
          <w:lang w:val="sr-Cyrl-CS" w:eastAsia="sr-Cyrl-CS"/>
        </w:rPr>
        <w:t xml:space="preserve"> плаћање је одложено за фебруар 2024. године, када је дошло до стварног одлива средстава. </w:t>
      </w:r>
    </w:p>
    <w:p w:rsidR="00EF4BB3" w:rsidRPr="00330E93" w:rsidRDefault="00EF4BB3" w:rsidP="0052360C">
      <w:pPr>
        <w:pStyle w:val="ListParagraph"/>
        <w:ind w:left="1134"/>
        <w:rPr>
          <w:rFonts w:asciiTheme="minorHAnsi" w:hAnsiTheme="minorHAnsi"/>
          <w:color w:val="FF0000"/>
          <w:sz w:val="20"/>
          <w:szCs w:val="20"/>
          <w:lang w:val="sr-Cyrl-CS" w:eastAsia="sr-Cyrl-CS"/>
        </w:rPr>
      </w:pPr>
    </w:p>
    <w:p w:rsidR="00EF4BB3" w:rsidRDefault="001538EF" w:rsidP="00A64AF6">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E00B0B">
        <w:rPr>
          <w:rFonts w:asciiTheme="minorHAnsi" w:hAnsiTheme="minorHAnsi"/>
          <w:b/>
          <w:color w:val="auto"/>
          <w:sz w:val="20"/>
          <w:szCs w:val="20"/>
          <w:lang w:val="sr-Cyrl-CS" w:eastAsia="sr-Cyrl-CS"/>
        </w:rPr>
        <w:t>укупни капитал</w:t>
      </w:r>
      <w:r w:rsidR="00E00B0B" w:rsidRPr="00E00B0B">
        <w:rPr>
          <w:rFonts w:asciiTheme="minorHAnsi" w:hAnsiTheme="minorHAnsi"/>
          <w:color w:val="auto"/>
          <w:sz w:val="20"/>
          <w:szCs w:val="20"/>
          <w:lang w:val="sr-Cyrl-CS" w:eastAsia="sr-Cyrl-CS"/>
        </w:rPr>
        <w:t xml:space="preserve"> у износу </w:t>
      </w:r>
      <w:r w:rsidR="00E00B0B" w:rsidRPr="00EF4BB3">
        <w:rPr>
          <w:rFonts w:asciiTheme="minorHAnsi" w:hAnsiTheme="minorHAnsi"/>
          <w:color w:val="auto"/>
          <w:sz w:val="20"/>
          <w:szCs w:val="20"/>
          <w:lang w:val="sr-Cyrl-CS" w:eastAsia="sr-Cyrl-CS"/>
        </w:rPr>
        <w:t>од</w:t>
      </w:r>
      <w:r w:rsidRPr="00EF4BB3">
        <w:rPr>
          <w:rFonts w:asciiTheme="minorHAnsi" w:hAnsiTheme="minorHAnsi"/>
          <w:color w:val="auto"/>
          <w:sz w:val="20"/>
          <w:szCs w:val="20"/>
          <w:lang w:val="sr-Cyrl-CS" w:eastAsia="sr-Cyrl-CS"/>
        </w:rPr>
        <w:t xml:space="preserve"> </w:t>
      </w:r>
      <w:r w:rsidR="00EF4BB3" w:rsidRPr="00EF4BB3">
        <w:rPr>
          <w:rFonts w:ascii="Calibri" w:hAnsi="Calibri"/>
          <w:bCs/>
          <w:sz w:val="20"/>
          <w:szCs w:val="20"/>
        </w:rPr>
        <w:t>16.849.590,43</w:t>
      </w:r>
      <w:r w:rsidR="00EF4BB3">
        <w:rPr>
          <w:rFonts w:ascii="Calibri" w:hAnsi="Calibri"/>
          <w:b/>
          <w:bCs/>
          <w:sz w:val="20"/>
          <w:szCs w:val="20"/>
          <w:lang w:val="sr-Cyrl-RS"/>
        </w:rPr>
        <w:t xml:space="preserve"> </w:t>
      </w:r>
      <w:r w:rsidR="00E00B0B" w:rsidRPr="00E00B0B">
        <w:rPr>
          <w:rFonts w:asciiTheme="minorHAnsi" w:hAnsiTheme="minorHAnsi"/>
          <w:color w:val="auto"/>
          <w:sz w:val="20"/>
          <w:szCs w:val="20"/>
          <w:lang w:val="sr-Cyrl-CS" w:eastAsia="sr-Cyrl-CS"/>
        </w:rPr>
        <w:t>КМ</w:t>
      </w:r>
      <w:r w:rsidRPr="00E00B0B">
        <w:rPr>
          <w:rFonts w:asciiTheme="minorHAnsi" w:hAnsiTheme="minorHAnsi"/>
          <w:color w:val="auto"/>
          <w:sz w:val="20"/>
          <w:szCs w:val="20"/>
          <w:lang w:val="sr-Cyrl-CS" w:eastAsia="sr-Cyrl-CS"/>
        </w:rPr>
        <w:t xml:space="preserve">, </w:t>
      </w:r>
      <w:r w:rsidR="00E00B0B">
        <w:rPr>
          <w:rFonts w:asciiTheme="minorHAnsi" w:hAnsiTheme="minorHAnsi"/>
          <w:color w:val="auto"/>
          <w:sz w:val="20"/>
          <w:szCs w:val="20"/>
          <w:lang w:val="sr-Cyrl-CS" w:eastAsia="sr-Cyrl-CS"/>
        </w:rPr>
        <w:t>а чин</w:t>
      </w:r>
      <w:r w:rsidR="00EF4BB3">
        <w:rPr>
          <w:rFonts w:asciiTheme="minorHAnsi" w:hAnsiTheme="minorHAnsi"/>
          <w:color w:val="auto"/>
          <w:sz w:val="20"/>
          <w:szCs w:val="20"/>
          <w:lang w:val="sr-Cyrl-CS" w:eastAsia="sr-Cyrl-CS"/>
        </w:rPr>
        <w:t>е</w:t>
      </w:r>
      <w:r w:rsidR="00E00B0B">
        <w:rPr>
          <w:rFonts w:asciiTheme="minorHAnsi" w:hAnsiTheme="minorHAnsi"/>
          <w:color w:val="auto"/>
          <w:sz w:val="20"/>
          <w:szCs w:val="20"/>
          <w:lang w:val="sr-Cyrl-CS" w:eastAsia="sr-Cyrl-CS"/>
        </w:rPr>
        <w:t xml:space="preserve"> га</w:t>
      </w:r>
      <w:r w:rsidR="00EF4BB3">
        <w:rPr>
          <w:rFonts w:asciiTheme="minorHAnsi" w:hAnsiTheme="minorHAnsi"/>
          <w:color w:val="auto"/>
          <w:sz w:val="20"/>
          <w:szCs w:val="20"/>
          <w:lang w:val="sr-Cyrl-CS" w:eastAsia="sr-Cyrl-CS"/>
        </w:rPr>
        <w:t xml:space="preserve"> сљедеће ставке:</w:t>
      </w:r>
      <w:r w:rsidRPr="00E00B0B">
        <w:rPr>
          <w:rFonts w:asciiTheme="minorHAnsi" w:hAnsiTheme="minorHAnsi"/>
          <w:color w:val="auto"/>
          <w:sz w:val="20"/>
          <w:szCs w:val="20"/>
          <w:lang w:val="sr-Cyrl-CS" w:eastAsia="sr-Cyrl-CS"/>
        </w:rPr>
        <w:t xml:space="preserve"> </w:t>
      </w:r>
    </w:p>
    <w:p w:rsidR="00EF4BB3" w:rsidRDefault="001538EF" w:rsidP="00EF4BB3">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sidRPr="00E00B0B">
        <w:rPr>
          <w:rFonts w:asciiTheme="minorHAnsi" w:hAnsiTheme="minorHAnsi"/>
          <w:color w:val="auto"/>
          <w:sz w:val="20"/>
          <w:szCs w:val="20"/>
          <w:lang w:val="sr-Cyrl-CS" w:eastAsia="sr-Cyrl-CS"/>
        </w:rPr>
        <w:t>акциј</w:t>
      </w:r>
      <w:r w:rsidR="00E00B0B" w:rsidRPr="00E00B0B">
        <w:rPr>
          <w:rFonts w:asciiTheme="minorHAnsi" w:hAnsiTheme="minorHAnsi"/>
          <w:color w:val="auto"/>
          <w:sz w:val="20"/>
          <w:szCs w:val="20"/>
          <w:lang w:val="sr-Cyrl-CS" w:eastAsia="sr-Cyrl-CS"/>
        </w:rPr>
        <w:t>ски капитал</w:t>
      </w:r>
      <w:r w:rsidR="00E00B0B">
        <w:rPr>
          <w:rFonts w:asciiTheme="minorHAnsi" w:hAnsiTheme="minorHAnsi"/>
          <w:color w:val="auto"/>
          <w:sz w:val="20"/>
          <w:szCs w:val="20"/>
          <w:lang w:val="sr-Cyrl-CS" w:eastAsia="sr-Cyrl-CS"/>
        </w:rPr>
        <w:t xml:space="preserve"> </w:t>
      </w:r>
      <w:r w:rsidR="00EF4BB3">
        <w:rPr>
          <w:rFonts w:asciiTheme="minorHAnsi" w:hAnsiTheme="minorHAnsi"/>
          <w:color w:val="auto"/>
          <w:sz w:val="20"/>
          <w:szCs w:val="20"/>
          <w:lang w:val="sr-Cyrl-CS" w:eastAsia="sr-Cyrl-CS"/>
        </w:rPr>
        <w:t>у износу</w:t>
      </w:r>
      <w:r w:rsidR="00E00B0B">
        <w:rPr>
          <w:rFonts w:asciiTheme="minorHAnsi" w:hAnsiTheme="minorHAnsi"/>
          <w:color w:val="auto"/>
          <w:sz w:val="20"/>
          <w:szCs w:val="20"/>
          <w:lang w:val="sr-Cyrl-CS" w:eastAsia="sr-Cyrl-CS"/>
        </w:rPr>
        <w:t xml:space="preserve"> </w:t>
      </w:r>
      <w:r w:rsidR="00EF4BB3">
        <w:rPr>
          <w:rFonts w:asciiTheme="minorHAnsi" w:hAnsiTheme="minorHAnsi"/>
          <w:color w:val="auto"/>
          <w:sz w:val="20"/>
          <w:szCs w:val="20"/>
          <w:lang w:val="sr-Cyrl-CS" w:eastAsia="sr-Cyrl-CS"/>
        </w:rPr>
        <w:t>30.000.000,00 КМ;</w:t>
      </w:r>
    </w:p>
    <w:p w:rsidR="001538EF" w:rsidRPr="00EF4BB3" w:rsidRDefault="00EF4BB3" w:rsidP="00EF4BB3">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губитак из ранијих година</w:t>
      </w:r>
      <w:r w:rsidR="001538EF" w:rsidRPr="00E00B0B">
        <w:rPr>
          <w:rFonts w:asciiTheme="minorHAnsi" w:hAnsiTheme="minorHAnsi"/>
          <w:color w:val="auto"/>
          <w:sz w:val="20"/>
          <w:szCs w:val="20"/>
          <w:lang w:val="sr-Cyrl-CS" w:eastAsia="sr-Cyrl-CS"/>
        </w:rPr>
        <w:t xml:space="preserve"> </w:t>
      </w:r>
      <w:r w:rsidR="00E00B0B">
        <w:rPr>
          <w:rFonts w:asciiTheme="minorHAnsi" w:hAnsiTheme="minorHAnsi"/>
          <w:color w:val="auto"/>
          <w:sz w:val="20"/>
          <w:szCs w:val="20"/>
          <w:lang w:val="sr-Cyrl-CS" w:eastAsia="sr-Cyrl-CS"/>
        </w:rPr>
        <w:t>у износу од</w:t>
      </w:r>
      <w:r w:rsidR="00E00B0B" w:rsidRPr="00E00B0B">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12.170.611,31</w:t>
      </w:r>
      <w:r w:rsidR="00E00B0B" w:rsidRPr="00E00B0B">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КМ;</w:t>
      </w:r>
    </w:p>
    <w:p w:rsidR="00EF4BB3" w:rsidRPr="00EF4BB3" w:rsidRDefault="00EF4BB3" w:rsidP="00EF4BB3">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sidRPr="00EF4BB3">
        <w:rPr>
          <w:rFonts w:asciiTheme="minorHAnsi" w:hAnsiTheme="minorHAnsi"/>
          <w:color w:val="auto"/>
          <w:sz w:val="20"/>
          <w:szCs w:val="20"/>
          <w:lang w:val="sr-Cyrl-CS" w:eastAsia="sr-Cyrl-CS"/>
        </w:rPr>
        <w:t xml:space="preserve">губитак текуће године у износу од </w:t>
      </w:r>
      <w:r w:rsidRPr="00EF4BB3">
        <w:rPr>
          <w:rFonts w:ascii="Calibri" w:hAnsi="Calibri"/>
          <w:color w:val="auto"/>
          <w:sz w:val="20"/>
          <w:szCs w:val="20"/>
        </w:rPr>
        <w:t>986.585,69</w:t>
      </w:r>
      <w:r w:rsidRPr="00EF4BB3">
        <w:rPr>
          <w:rFonts w:ascii="Calibri" w:hAnsi="Calibri"/>
          <w:color w:val="auto"/>
          <w:sz w:val="20"/>
          <w:szCs w:val="20"/>
          <w:lang w:val="sr-Cyrl-RS"/>
        </w:rPr>
        <w:t xml:space="preserve"> КМ</w:t>
      </w:r>
      <w:r>
        <w:rPr>
          <w:rFonts w:ascii="Calibri" w:hAnsi="Calibri"/>
          <w:sz w:val="20"/>
          <w:szCs w:val="20"/>
          <w:lang w:val="sr-Cyrl-RS"/>
        </w:rPr>
        <w:t>;</w:t>
      </w:r>
    </w:p>
    <w:p w:rsidR="00EF4BB3" w:rsidRDefault="00EF4BB3" w:rsidP="00EF4BB3">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Pr>
          <w:rFonts w:ascii="Calibri" w:hAnsi="Calibri"/>
          <w:sz w:val="20"/>
          <w:szCs w:val="20"/>
          <w:lang w:val="sr-Cyrl-RS"/>
        </w:rPr>
        <w:t>ревализационе резерве у износу од 6.787,43 КМ</w:t>
      </w:r>
      <w:r w:rsidR="009F0184">
        <w:rPr>
          <w:rFonts w:ascii="Calibri" w:hAnsi="Calibri"/>
          <w:sz w:val="20"/>
          <w:szCs w:val="20"/>
          <w:lang w:val="sr-Cyrl-RS"/>
        </w:rPr>
        <w:t>,</w:t>
      </w:r>
      <w:r>
        <w:rPr>
          <w:rFonts w:ascii="Calibri" w:hAnsi="Calibri"/>
          <w:sz w:val="20"/>
          <w:szCs w:val="20"/>
          <w:lang w:val="sr-Cyrl-RS"/>
        </w:rPr>
        <w:t xml:space="preserve"> настале као ефекат повећања вриједности удјела Фонда у отвореном инвестиционом фонду МС Лоанс.</w:t>
      </w:r>
    </w:p>
    <w:p w:rsidR="00FB3757" w:rsidRPr="005767EF" w:rsidRDefault="00FB3757" w:rsidP="001538EF">
      <w:pPr>
        <w:rPr>
          <w:rFonts w:asciiTheme="minorHAnsi" w:hAnsiTheme="minorHAnsi"/>
          <w:sz w:val="20"/>
          <w:szCs w:val="20"/>
          <w:lang w:val="sr-Cyrl-CS" w:eastAsia="sr-Cyrl-CS"/>
        </w:rPr>
      </w:pPr>
    </w:p>
    <w:p w:rsidR="001538EF" w:rsidRPr="00EE16CE" w:rsidRDefault="00B44D0C" w:rsidP="00B44D0C">
      <w:pPr>
        <w:pStyle w:val="Heading2"/>
        <w:numPr>
          <w:ilvl w:val="0"/>
          <w:numId w:val="0"/>
        </w:numPr>
        <w:ind w:left="576" w:hanging="576"/>
        <w:rPr>
          <w:rFonts w:asciiTheme="minorHAnsi" w:hAnsiTheme="minorHAnsi"/>
          <w:szCs w:val="20"/>
        </w:rPr>
      </w:pPr>
      <w:bookmarkStart w:id="16" w:name="_Toc135292179"/>
      <w:r w:rsidRPr="00EE16CE">
        <w:rPr>
          <w:rFonts w:asciiTheme="minorHAnsi" w:hAnsiTheme="minorHAnsi"/>
          <w:szCs w:val="20"/>
          <w:lang w:val="sr-Cyrl-RS"/>
        </w:rPr>
        <w:t xml:space="preserve">3.5.      </w:t>
      </w:r>
      <w:r w:rsidR="001538EF" w:rsidRPr="00EE16CE">
        <w:rPr>
          <w:rFonts w:asciiTheme="minorHAnsi" w:hAnsiTheme="minorHAnsi"/>
          <w:szCs w:val="20"/>
        </w:rPr>
        <w:t xml:space="preserve">АНАЛИЗА </w:t>
      </w:r>
      <w:r w:rsidR="00424A91">
        <w:rPr>
          <w:rFonts w:asciiTheme="minorHAnsi" w:hAnsiTheme="minorHAnsi"/>
          <w:szCs w:val="20"/>
          <w:lang w:val="sr-Cyrl-RS"/>
        </w:rPr>
        <w:t xml:space="preserve">СЛОБОДНИХ </w:t>
      </w:r>
      <w:r w:rsidR="008C6F9F" w:rsidRPr="00EE16CE">
        <w:rPr>
          <w:rFonts w:asciiTheme="minorHAnsi" w:hAnsiTheme="minorHAnsi"/>
          <w:szCs w:val="20"/>
          <w:lang w:val="sr-Cyrl-RS"/>
        </w:rPr>
        <w:t>НОВЧАНИХ СРЕДСТАВА</w:t>
      </w:r>
      <w:r w:rsidR="001538EF" w:rsidRPr="00EE16CE">
        <w:rPr>
          <w:rFonts w:asciiTheme="minorHAnsi" w:hAnsiTheme="minorHAnsi"/>
          <w:szCs w:val="20"/>
        </w:rPr>
        <w:t xml:space="preserve"> НА ДАН 31.12.202</w:t>
      </w:r>
      <w:r w:rsidR="00FB3757">
        <w:rPr>
          <w:rFonts w:asciiTheme="minorHAnsi" w:hAnsiTheme="minorHAnsi"/>
          <w:szCs w:val="20"/>
          <w:lang w:val="sr-Cyrl-RS"/>
        </w:rPr>
        <w:t>4</w:t>
      </w:r>
      <w:r w:rsidR="001538EF" w:rsidRPr="00EE16CE">
        <w:rPr>
          <w:rFonts w:asciiTheme="minorHAnsi" w:hAnsiTheme="minorHAnsi"/>
          <w:szCs w:val="20"/>
        </w:rPr>
        <w:t>. ГОДИНЕ</w:t>
      </w:r>
      <w:bookmarkEnd w:id="16"/>
    </w:p>
    <w:p w:rsidR="001538EF" w:rsidRPr="005767EF" w:rsidRDefault="001538EF" w:rsidP="001538EF">
      <w:pPr>
        <w:jc w:val="center"/>
        <w:rPr>
          <w:rFonts w:asciiTheme="minorHAnsi" w:hAnsiTheme="minorHAnsi"/>
          <w:b/>
          <w:sz w:val="20"/>
          <w:szCs w:val="20"/>
          <w:lang w:val="sr-Cyrl-CS" w:eastAsia="sr-Cyrl-CS"/>
        </w:rPr>
      </w:pPr>
    </w:p>
    <w:p w:rsidR="00B44D0C" w:rsidRDefault="00B44D0C" w:rsidP="00B44D0C">
      <w:pPr>
        <w:autoSpaceDE w:val="0"/>
        <w:autoSpaceDN w:val="0"/>
        <w:adjustRightInd w:val="0"/>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val="sr-Latn-RS" w:eastAsia="en-US"/>
        </w:rPr>
        <w:t>Правилником о улагању средстава Гарантног фонда Републике Српске</w:t>
      </w:r>
      <w:r w:rsidRPr="005767EF">
        <w:rPr>
          <w:rFonts w:asciiTheme="minorHAnsi" w:eastAsiaTheme="minorHAnsi" w:hAnsiTheme="minorHAnsi"/>
          <w:color w:val="auto"/>
          <w:sz w:val="20"/>
          <w:szCs w:val="20"/>
          <w:lang w:val="sr-Cyrl-BA" w:eastAsia="en-US"/>
        </w:rPr>
        <w:t xml:space="preserve"> који је донијела Скупштина акционара Фонда 11.03.2021. године </w:t>
      </w:r>
      <w:r w:rsidRPr="005767EF">
        <w:rPr>
          <w:rFonts w:asciiTheme="minorHAnsi" w:eastAsiaTheme="minorHAnsi" w:hAnsiTheme="minorHAnsi"/>
          <w:color w:val="auto"/>
          <w:sz w:val="20"/>
          <w:szCs w:val="20"/>
          <w:lang w:val="sr-Latn-RS" w:eastAsia="en-US"/>
        </w:rPr>
        <w:t>дефини</w:t>
      </w:r>
      <w:r w:rsidRPr="005767EF">
        <w:rPr>
          <w:rFonts w:asciiTheme="minorHAnsi" w:eastAsiaTheme="minorHAnsi" w:hAnsiTheme="minorHAnsi"/>
          <w:color w:val="auto"/>
          <w:sz w:val="20"/>
          <w:szCs w:val="20"/>
          <w:lang w:val="sr-Cyrl-BA" w:eastAsia="en-US"/>
        </w:rPr>
        <w:t xml:space="preserve">сани су </w:t>
      </w:r>
      <w:r w:rsidRPr="005767EF">
        <w:rPr>
          <w:rFonts w:asciiTheme="minorHAnsi" w:eastAsiaTheme="minorHAnsi" w:hAnsiTheme="minorHAnsi"/>
          <w:color w:val="auto"/>
          <w:sz w:val="20"/>
          <w:szCs w:val="20"/>
          <w:lang w:val="sr-Latn-RS" w:eastAsia="en-US"/>
        </w:rPr>
        <w:t xml:space="preserve"> циљеви инвестирања, начела и правила улагања средстава </w:t>
      </w:r>
      <w:r w:rsidRPr="005767EF">
        <w:rPr>
          <w:rFonts w:asciiTheme="minorHAnsi" w:eastAsiaTheme="minorHAnsi" w:hAnsiTheme="minorHAnsi"/>
          <w:color w:val="auto"/>
          <w:sz w:val="20"/>
          <w:szCs w:val="20"/>
          <w:lang w:val="sr-Cyrl-BA" w:eastAsia="en-US"/>
        </w:rPr>
        <w:t>Фонда у циљу његовог развоја.</w:t>
      </w:r>
      <w:r w:rsidRPr="005767EF">
        <w:rPr>
          <w:rFonts w:asciiTheme="minorHAnsi" w:eastAsiaTheme="minorHAnsi" w:hAnsiTheme="minorHAnsi"/>
          <w:color w:val="auto"/>
          <w:sz w:val="20"/>
          <w:szCs w:val="20"/>
          <w:lang w:val="sr-Latn-RS" w:eastAsia="en-US"/>
        </w:rPr>
        <w:t xml:space="preserve"> </w:t>
      </w:r>
    </w:p>
    <w:p w:rsidR="008C6F9F" w:rsidRPr="008C6F9F" w:rsidRDefault="008C6F9F" w:rsidP="00B44D0C">
      <w:pPr>
        <w:autoSpaceDE w:val="0"/>
        <w:autoSpaceDN w:val="0"/>
        <w:adjustRightInd w:val="0"/>
        <w:rPr>
          <w:rFonts w:asciiTheme="minorHAnsi" w:eastAsiaTheme="minorHAnsi" w:hAnsiTheme="minorHAnsi"/>
          <w:color w:val="auto"/>
          <w:sz w:val="20"/>
          <w:szCs w:val="20"/>
          <w:lang w:val="sr-Cyrl-RS" w:eastAsia="en-US"/>
        </w:rPr>
      </w:pPr>
    </w:p>
    <w:p w:rsidR="00B44D0C" w:rsidRPr="005767EF" w:rsidRDefault="00B44D0C" w:rsidP="00B44D0C">
      <w:pPr>
        <w:autoSpaceDE w:val="0"/>
        <w:autoSpaceDN w:val="0"/>
        <w:adjustRightInd w:val="0"/>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Cyrl-BA" w:eastAsia="en-US"/>
        </w:rPr>
        <w:t>Основни принципи улагања заснивају се на :</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усклађености са базичним циљевима друштва као цјелине</w:t>
      </w:r>
      <w:r w:rsidR="007F232A">
        <w:rPr>
          <w:rFonts w:asciiTheme="minorHAnsi" w:eastAsiaTheme="minorHAnsi" w:hAnsiTheme="minorHAnsi"/>
          <w:color w:val="auto"/>
          <w:sz w:val="20"/>
          <w:szCs w:val="20"/>
          <w:lang w:val="sr-Cyrl-RS" w:eastAsia="en-US"/>
        </w:rPr>
        <w:t>;</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усклађености са базичним циљевима Програма економских реформи Владе Републике Српске</w:t>
      </w:r>
      <w:r w:rsidR="007F232A">
        <w:rPr>
          <w:rFonts w:asciiTheme="minorHAnsi" w:eastAsiaTheme="minorHAnsi" w:hAnsiTheme="minorHAnsi"/>
          <w:color w:val="auto"/>
          <w:sz w:val="20"/>
          <w:szCs w:val="20"/>
          <w:lang w:val="sr-Cyrl-RS" w:eastAsia="en-US"/>
        </w:rPr>
        <w:t>;</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потпуном повезаности ca развојном политиком Фонда</w:t>
      </w:r>
      <w:r w:rsidR="007F232A">
        <w:rPr>
          <w:rFonts w:asciiTheme="minorHAnsi" w:eastAsiaTheme="minorHAnsi" w:hAnsiTheme="minorHAnsi"/>
          <w:color w:val="auto"/>
          <w:sz w:val="20"/>
          <w:szCs w:val="20"/>
          <w:lang w:val="sr-Cyrl-RS" w:eastAsia="en-US"/>
        </w:rPr>
        <w:t>;</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iCs/>
          <w:color w:val="auto"/>
          <w:sz w:val="20"/>
          <w:szCs w:val="20"/>
          <w:lang w:val="sr-Latn-RS" w:eastAsia="en-US"/>
        </w:rPr>
        <w:t>об</w:t>
      </w:r>
      <w:r w:rsidRPr="005767EF">
        <w:rPr>
          <w:rFonts w:asciiTheme="minorHAnsi" w:eastAsiaTheme="minorHAnsi" w:hAnsiTheme="minorHAnsi"/>
          <w:color w:val="auto"/>
          <w:sz w:val="20"/>
          <w:szCs w:val="20"/>
          <w:lang w:val="sr-Latn-RS" w:eastAsia="en-US"/>
        </w:rPr>
        <w:t>јективности у одлучивању о најповољнијем инвестиционом рје</w:t>
      </w:r>
      <w:r w:rsidRPr="005767EF">
        <w:rPr>
          <w:rFonts w:asciiTheme="minorHAnsi" w:eastAsiaTheme="minorHAnsi" w:hAnsiTheme="minorHAnsi"/>
          <w:color w:val="auto"/>
          <w:sz w:val="20"/>
          <w:szCs w:val="20"/>
          <w:lang w:val="sr-Cyrl-BA" w:eastAsia="en-US"/>
        </w:rPr>
        <w:t>шењу</w:t>
      </w:r>
      <w:r w:rsidR="007F232A">
        <w:rPr>
          <w:rFonts w:asciiTheme="minorHAnsi" w:eastAsiaTheme="minorHAnsi" w:hAnsiTheme="minorHAnsi"/>
          <w:color w:val="auto"/>
          <w:sz w:val="20"/>
          <w:szCs w:val="20"/>
          <w:lang w:val="sr-Cyrl-BA" w:eastAsia="en-US"/>
        </w:rPr>
        <w:t>;</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сигурности имовине Фонда (Фонд ће улагати у финансијске инструменте емитената са високим кредитним рејтингом и ниским ризиком)</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диверсификације портфеља</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ликвидности - улагање ће се вршити у финансијске инструменте које је могуће брзо и ефикасно купити и продати по релативно уједначеној и стабилној цијени као и финансијске инструменте чији је новчани ток извјестан и унапријед познат</w:t>
      </w:r>
      <w:r w:rsidR="007F232A">
        <w:rPr>
          <w:rFonts w:asciiTheme="minorHAnsi" w:eastAsia="Gulim" w:hAnsiTheme="minorHAnsi"/>
          <w:color w:val="auto"/>
          <w:sz w:val="20"/>
          <w:szCs w:val="20"/>
          <w:lang w:val="sr-Cyrl-RS" w:eastAsia="en-US"/>
        </w:rPr>
        <w:t>;</w:t>
      </w:r>
    </w:p>
    <w:p w:rsidR="00B44D0C" w:rsidRPr="00B44D0C" w:rsidRDefault="00B44D0C" w:rsidP="00B44D0C">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профитабилности - улагање ће се вршити на начин да се у структури портфеља Фонда налазе финансијски инструменти које, уз уважавање претходних начела, доносе највећи принос за преузети ниво ризика</w:t>
      </w:r>
      <w:r w:rsidR="007F232A">
        <w:rPr>
          <w:rFonts w:asciiTheme="minorHAnsi" w:eastAsia="Gulim" w:hAnsiTheme="minorHAnsi"/>
          <w:color w:val="auto"/>
          <w:sz w:val="20"/>
          <w:szCs w:val="20"/>
          <w:lang w:val="sr-Cyrl-RS" w:eastAsia="en-US"/>
        </w:rPr>
        <w:t>.</w:t>
      </w:r>
    </w:p>
    <w:p w:rsidR="00B44D0C" w:rsidRPr="005767EF" w:rsidRDefault="00B44D0C" w:rsidP="00B00123">
      <w:pPr>
        <w:pStyle w:val="ListParagraph"/>
        <w:autoSpaceDE w:val="0"/>
        <w:autoSpaceDN w:val="0"/>
        <w:adjustRightInd w:val="0"/>
        <w:ind w:left="993"/>
        <w:jc w:val="left"/>
        <w:rPr>
          <w:rFonts w:asciiTheme="minorHAnsi" w:eastAsiaTheme="minorHAnsi" w:hAnsiTheme="minorHAnsi"/>
          <w:color w:val="auto"/>
          <w:sz w:val="20"/>
          <w:szCs w:val="20"/>
          <w:lang w:val="sr-Latn-RS" w:eastAsia="en-US"/>
        </w:rPr>
      </w:pPr>
    </w:p>
    <w:p w:rsidR="00B44D0C" w:rsidRDefault="00B44D0C" w:rsidP="00B44D0C">
      <w:pPr>
        <w:autoSpaceDE w:val="0"/>
        <w:autoSpaceDN w:val="0"/>
        <w:adjustRightInd w:val="0"/>
        <w:rPr>
          <w:rFonts w:asciiTheme="minorHAnsi" w:eastAsia="Gulim" w:hAnsiTheme="minorHAnsi"/>
          <w:color w:val="auto"/>
          <w:sz w:val="20"/>
          <w:szCs w:val="20"/>
          <w:lang w:val="sr-Cyrl-RS" w:eastAsia="en-US"/>
        </w:rPr>
      </w:pPr>
      <w:r w:rsidRPr="005767EF">
        <w:rPr>
          <w:rFonts w:asciiTheme="minorHAnsi" w:eastAsia="Gulim" w:hAnsiTheme="minorHAnsi"/>
          <w:color w:val="auto"/>
          <w:sz w:val="20"/>
          <w:szCs w:val="20"/>
          <w:lang w:val="sr-Latn-RS" w:eastAsia="en-US"/>
        </w:rPr>
        <w:t>Циљ инвестирања средстава Гарантног фонда Републике Српске је да се оствари дугорочно стабилна стопа приноса у односу на улагања Фонда</w:t>
      </w:r>
      <w:r w:rsidR="00125192">
        <w:rPr>
          <w:rFonts w:asciiTheme="minorHAnsi" w:eastAsia="Gulim" w:hAnsiTheme="minorHAnsi"/>
          <w:color w:val="auto"/>
          <w:sz w:val="20"/>
          <w:szCs w:val="20"/>
          <w:lang w:val="sr-Cyrl-RS" w:eastAsia="en-US"/>
        </w:rPr>
        <w:t>,</w:t>
      </w:r>
      <w:r w:rsidRPr="005767EF">
        <w:rPr>
          <w:rFonts w:asciiTheme="minorHAnsi" w:eastAsia="Gulim" w:hAnsiTheme="minorHAnsi"/>
          <w:color w:val="auto"/>
          <w:sz w:val="20"/>
          <w:szCs w:val="20"/>
          <w:lang w:val="sr-Latn-RS" w:eastAsia="en-US"/>
        </w:rPr>
        <w:t xml:space="preserve"> проводећи умјерено конзервативну инвестициону политику.</w:t>
      </w:r>
    </w:p>
    <w:p w:rsidR="00B44D0C" w:rsidRPr="00B44D0C" w:rsidRDefault="00B44D0C" w:rsidP="00B44D0C">
      <w:pPr>
        <w:autoSpaceDE w:val="0"/>
        <w:autoSpaceDN w:val="0"/>
        <w:adjustRightInd w:val="0"/>
        <w:rPr>
          <w:rFonts w:asciiTheme="minorHAnsi" w:eastAsia="Gulim" w:hAnsiTheme="minorHAnsi"/>
          <w:color w:val="auto"/>
          <w:sz w:val="20"/>
          <w:szCs w:val="20"/>
          <w:lang w:val="sr-Cyrl-RS" w:eastAsia="en-US"/>
        </w:rPr>
      </w:pPr>
    </w:p>
    <w:p w:rsidR="00B44D0C" w:rsidRPr="005767EF" w:rsidRDefault="00B44D0C" w:rsidP="00B44D0C">
      <w:pPr>
        <w:autoSpaceDE w:val="0"/>
        <w:autoSpaceDN w:val="0"/>
        <w:adjustRightInd w:val="0"/>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Гарантни фонд Републике Српске расположива средства може да улаже у:</w:t>
      </w:r>
    </w:p>
    <w:p w:rsidR="00B44D0C" w:rsidRPr="005767EF" w:rsidRDefault="00B44D0C" w:rsidP="00B44D0C">
      <w:pPr>
        <w:autoSpaceDE w:val="0"/>
        <w:autoSpaceDN w:val="0"/>
        <w:adjustRightInd w:val="0"/>
        <w:jc w:val="left"/>
        <w:rPr>
          <w:rFonts w:asciiTheme="minorHAnsi" w:eastAsia="Gulim" w:hAnsiTheme="minorHAnsi"/>
          <w:color w:val="auto"/>
          <w:sz w:val="20"/>
          <w:szCs w:val="20"/>
          <w:lang w:val="sr-Latn-RS" w:eastAsia="en-US"/>
        </w:rPr>
      </w:pP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орочене депозите у банкама са сједиштем у Републици Српској</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дужничке хартије од вриједности чији је емитент или гарант Република Српска</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обвезнице и друге дужничке хартије од вриједности које је издала или дала гаранцију јединица локалне самоуправе у Републици Српској</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обвезнице банака и других финансијских институција којима се тргује на организованом тржишту хартија од вриједности у Републици Српској</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обвезнице привредних друштава којима се тргује на организованом тржишту хартија од вриједности у Републици Српској</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редовне акције банака и других финансијских институција којима се тргује на организованом тржишту хартија од вриједности у Републици Српској</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приоритетне акције банака и других финансијских институција којима се тргује на организованом тржишту хартија од вриједности у Републици Српској</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субординиране обвезнице банака и других финансијских институција којима се тргује на организованом тржишту хартија од вриједности у Републици Српској</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некретнине; у изузетним случајевима принудне наплате потраживања насталих</w:t>
      </w:r>
      <w:r w:rsidRPr="005767EF">
        <w:rPr>
          <w:rFonts w:asciiTheme="minorHAnsi" w:eastAsia="Gulim" w:hAnsiTheme="minorHAnsi"/>
          <w:color w:val="auto"/>
          <w:sz w:val="20"/>
          <w:szCs w:val="20"/>
          <w:lang w:val="sr-Cyrl-BA" w:eastAsia="en-US"/>
        </w:rPr>
        <w:t xml:space="preserve"> </w:t>
      </w:r>
      <w:r w:rsidRPr="005767EF">
        <w:rPr>
          <w:rFonts w:asciiTheme="minorHAnsi" w:eastAsia="Gulim" w:hAnsiTheme="minorHAnsi"/>
          <w:color w:val="auto"/>
          <w:sz w:val="20"/>
          <w:szCs w:val="20"/>
          <w:lang w:val="sr-Latn-RS" w:eastAsia="en-US"/>
        </w:rPr>
        <w:t xml:space="preserve"> по основу издатих гаранција</w:t>
      </w:r>
      <w:r w:rsidR="007F232A">
        <w:rPr>
          <w:rFonts w:asciiTheme="minorHAnsi" w:eastAsia="Gulim" w:hAnsiTheme="minorHAnsi"/>
          <w:color w:val="auto"/>
          <w:sz w:val="20"/>
          <w:szCs w:val="20"/>
          <w:lang w:val="sr-Cyrl-RS" w:eastAsia="en-US"/>
        </w:rPr>
        <w:t>;</w:t>
      </w:r>
    </w:p>
    <w:p w:rsidR="00B44D0C" w:rsidRPr="005767EF" w:rsidRDefault="00B44D0C" w:rsidP="00B44D0C">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удје</w:t>
      </w:r>
      <w:r w:rsidRPr="005767EF">
        <w:rPr>
          <w:rFonts w:asciiTheme="minorHAnsi" w:eastAsia="Gulim" w:hAnsiTheme="minorHAnsi"/>
          <w:color w:val="auto"/>
          <w:sz w:val="20"/>
          <w:szCs w:val="20"/>
          <w:lang w:val="sr-Cyrl-BA" w:eastAsia="en-US"/>
        </w:rPr>
        <w:t xml:space="preserve">ле у </w:t>
      </w:r>
      <w:r w:rsidRPr="005767EF">
        <w:rPr>
          <w:rFonts w:asciiTheme="minorHAnsi" w:eastAsia="Gulim" w:hAnsiTheme="minorHAnsi"/>
          <w:color w:val="auto"/>
          <w:sz w:val="20"/>
          <w:szCs w:val="20"/>
          <w:lang w:val="sr-Latn-RS" w:eastAsia="en-US"/>
        </w:rPr>
        <w:t xml:space="preserve"> отвореним инвестиционоим фондовима регистрованим у Републици Српској којима се тргује на организованом тржишту хартија од вриједности у</w:t>
      </w:r>
      <w:r w:rsidRPr="005767EF">
        <w:rPr>
          <w:rFonts w:asciiTheme="minorHAnsi" w:eastAsia="Gulim" w:hAnsiTheme="minorHAnsi"/>
          <w:color w:val="auto"/>
          <w:sz w:val="20"/>
          <w:szCs w:val="20"/>
          <w:lang w:val="sr-Cyrl-BA" w:eastAsia="en-US"/>
        </w:rPr>
        <w:t xml:space="preserve"> </w:t>
      </w:r>
      <w:r w:rsidRPr="005767EF">
        <w:rPr>
          <w:rFonts w:asciiTheme="minorHAnsi" w:eastAsia="Gulim" w:hAnsiTheme="minorHAnsi"/>
          <w:color w:val="auto"/>
          <w:sz w:val="20"/>
          <w:szCs w:val="20"/>
          <w:lang w:val="sr-Latn-RS" w:eastAsia="en-US"/>
        </w:rPr>
        <w:t>Републици Српској</w:t>
      </w:r>
      <w:r w:rsidR="007F232A">
        <w:rPr>
          <w:rFonts w:asciiTheme="minorHAnsi" w:eastAsia="Gulim" w:hAnsiTheme="minorHAnsi"/>
          <w:color w:val="auto"/>
          <w:sz w:val="20"/>
          <w:szCs w:val="20"/>
          <w:lang w:val="sr-Cyrl-RS" w:eastAsia="en-US"/>
        </w:rPr>
        <w:t>;</w:t>
      </w:r>
    </w:p>
    <w:p w:rsidR="00B00123" w:rsidRPr="000F5C04" w:rsidRDefault="00B44D0C" w:rsidP="00B00123">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акције привредних друштава са сједиштем у Републици Српској којима се тргује на организованом тржишту хартија од вриједности у Републици Српској</w:t>
      </w:r>
      <w:r w:rsidR="007F232A">
        <w:rPr>
          <w:rFonts w:asciiTheme="minorHAnsi" w:eastAsia="Gulim" w:hAnsiTheme="minorHAnsi"/>
          <w:color w:val="auto"/>
          <w:sz w:val="20"/>
          <w:szCs w:val="20"/>
          <w:lang w:val="sr-Cyrl-RS" w:eastAsia="en-US"/>
        </w:rPr>
        <w:t>.</w:t>
      </w:r>
    </w:p>
    <w:p w:rsidR="00832469" w:rsidRDefault="00832469" w:rsidP="008C6F9F">
      <w:pPr>
        <w:rPr>
          <w:rFonts w:asciiTheme="minorHAnsi" w:eastAsiaTheme="minorHAnsi" w:hAnsiTheme="minorHAnsi"/>
          <w:color w:val="auto"/>
          <w:sz w:val="20"/>
          <w:szCs w:val="20"/>
          <w:lang w:val="sr-Cyrl-BA" w:eastAsia="en-US"/>
        </w:rPr>
      </w:pPr>
    </w:p>
    <w:p w:rsidR="003E21A9" w:rsidRDefault="003E21A9" w:rsidP="008C6F9F">
      <w:pPr>
        <w:rPr>
          <w:rFonts w:asciiTheme="minorHAnsi" w:eastAsia="Calibri" w:hAnsiTheme="minorHAnsi"/>
          <w:color w:val="auto"/>
          <w:sz w:val="20"/>
          <w:szCs w:val="20"/>
          <w:lang w:val="sr-Cyrl-RS" w:eastAsia="en-US"/>
        </w:rPr>
      </w:pPr>
      <w:r w:rsidRPr="005767EF">
        <w:rPr>
          <w:rFonts w:asciiTheme="minorHAnsi" w:eastAsiaTheme="minorHAnsi" w:hAnsiTheme="minorHAnsi"/>
          <w:color w:val="auto"/>
          <w:sz w:val="20"/>
          <w:szCs w:val="20"/>
          <w:lang w:val="sr-Cyrl-BA" w:eastAsia="en-US"/>
        </w:rPr>
        <w:t>Уважавајући горе наведене принципе, критерије и могућности улагања сло</w:t>
      </w:r>
      <w:r>
        <w:rPr>
          <w:rFonts w:asciiTheme="minorHAnsi" w:eastAsiaTheme="minorHAnsi" w:hAnsiTheme="minorHAnsi"/>
          <w:color w:val="auto"/>
          <w:sz w:val="20"/>
          <w:szCs w:val="20"/>
          <w:lang w:val="sr-Cyrl-BA" w:eastAsia="en-US"/>
        </w:rPr>
        <w:t xml:space="preserve">бодних новчаних средстава, </w:t>
      </w:r>
      <w:r w:rsidRPr="005767EF">
        <w:rPr>
          <w:rFonts w:asciiTheme="minorHAnsi" w:eastAsiaTheme="minorHAnsi" w:hAnsiTheme="minorHAnsi"/>
          <w:color w:val="auto"/>
          <w:sz w:val="20"/>
          <w:szCs w:val="20"/>
          <w:lang w:val="sr-Cyrl-BA" w:eastAsia="en-US"/>
        </w:rPr>
        <w:t>Фонд</w:t>
      </w:r>
      <w:r w:rsidR="0066471A">
        <w:rPr>
          <w:rFonts w:asciiTheme="minorHAnsi" w:eastAsiaTheme="minorHAnsi" w:hAnsiTheme="minorHAnsi"/>
          <w:color w:val="auto"/>
          <w:sz w:val="20"/>
          <w:szCs w:val="20"/>
          <w:lang w:val="sr-Cyrl-BA" w:eastAsia="en-US"/>
        </w:rPr>
        <w:t xml:space="preserve"> је</w:t>
      </w:r>
      <w:r w:rsidRPr="005767EF">
        <w:rPr>
          <w:rFonts w:asciiTheme="minorHAnsi" w:eastAsiaTheme="minorHAnsi" w:hAnsiTheme="minorHAnsi"/>
          <w:color w:val="auto"/>
          <w:sz w:val="20"/>
          <w:szCs w:val="20"/>
          <w:lang w:val="sr-Cyrl-BA" w:eastAsia="en-US"/>
        </w:rPr>
        <w:t xml:space="preserve"> </w:t>
      </w:r>
      <w:r w:rsidR="0066471A">
        <w:rPr>
          <w:rFonts w:asciiTheme="minorHAnsi" w:eastAsiaTheme="minorHAnsi" w:hAnsiTheme="minorHAnsi"/>
          <w:color w:val="auto"/>
          <w:sz w:val="20"/>
          <w:szCs w:val="20"/>
          <w:lang w:val="sr-Cyrl-BA" w:eastAsia="en-US"/>
        </w:rPr>
        <w:t>континуирано вршио</w:t>
      </w:r>
      <w:r w:rsidRPr="005767EF">
        <w:rPr>
          <w:rFonts w:asciiTheme="minorHAnsi" w:eastAsiaTheme="minorHAnsi" w:hAnsiTheme="minorHAnsi"/>
          <w:color w:val="auto"/>
          <w:sz w:val="20"/>
          <w:szCs w:val="20"/>
          <w:lang w:val="sr-Cyrl-BA" w:eastAsia="en-US"/>
        </w:rPr>
        <w:t xml:space="preserve"> улагања слободних новчаних средстава у </w:t>
      </w:r>
      <w:r w:rsidR="0066471A">
        <w:rPr>
          <w:rFonts w:asciiTheme="minorHAnsi" w:eastAsiaTheme="minorHAnsi" w:hAnsiTheme="minorHAnsi"/>
          <w:color w:val="auto"/>
          <w:sz w:val="20"/>
          <w:szCs w:val="20"/>
          <w:lang w:val="sr-Cyrl-BA" w:eastAsia="en-US"/>
        </w:rPr>
        <w:t xml:space="preserve">дужничке </w:t>
      </w:r>
      <w:r w:rsidRPr="005767EF">
        <w:rPr>
          <w:rFonts w:asciiTheme="minorHAnsi" w:eastAsiaTheme="minorHAnsi" w:hAnsiTheme="minorHAnsi"/>
          <w:color w:val="auto"/>
          <w:sz w:val="20"/>
          <w:szCs w:val="20"/>
          <w:lang w:val="sr-Cyrl-BA" w:eastAsia="en-US"/>
        </w:rPr>
        <w:t>хартије од вриједности</w:t>
      </w:r>
      <w:r w:rsidR="0066471A">
        <w:rPr>
          <w:rFonts w:asciiTheme="minorHAnsi" w:eastAsiaTheme="minorHAnsi" w:hAnsiTheme="minorHAnsi"/>
          <w:color w:val="auto"/>
          <w:sz w:val="20"/>
          <w:szCs w:val="20"/>
          <w:lang w:val="sr-Cyrl-BA" w:eastAsia="en-US"/>
        </w:rPr>
        <w:t>, те је на дан 31.12.202</w:t>
      </w:r>
      <w:r w:rsidR="007F232A">
        <w:rPr>
          <w:rFonts w:asciiTheme="minorHAnsi" w:eastAsiaTheme="minorHAnsi" w:hAnsiTheme="minorHAnsi"/>
          <w:color w:val="auto"/>
          <w:sz w:val="20"/>
          <w:szCs w:val="20"/>
          <w:lang w:val="sr-Cyrl-BA" w:eastAsia="en-US"/>
        </w:rPr>
        <w:t>4</w:t>
      </w:r>
      <w:r w:rsidR="0066471A">
        <w:rPr>
          <w:rFonts w:asciiTheme="minorHAnsi" w:eastAsiaTheme="minorHAnsi" w:hAnsiTheme="minorHAnsi"/>
          <w:color w:val="auto"/>
          <w:sz w:val="20"/>
          <w:szCs w:val="20"/>
          <w:lang w:val="sr-Cyrl-BA" w:eastAsia="en-US"/>
        </w:rPr>
        <w:t>. године више</w:t>
      </w:r>
      <w:r>
        <w:rPr>
          <w:rFonts w:asciiTheme="minorHAnsi" w:eastAsiaTheme="minorHAnsi" w:hAnsiTheme="minorHAnsi"/>
          <w:color w:val="auto"/>
          <w:sz w:val="20"/>
          <w:szCs w:val="20"/>
          <w:lang w:val="sr-Cyrl-BA" w:eastAsia="en-US"/>
        </w:rPr>
        <w:t xml:space="preserve"> од половине новча</w:t>
      </w:r>
      <w:r w:rsidR="0066471A">
        <w:rPr>
          <w:rFonts w:asciiTheme="minorHAnsi" w:eastAsiaTheme="minorHAnsi" w:hAnsiTheme="minorHAnsi"/>
          <w:color w:val="auto"/>
          <w:sz w:val="20"/>
          <w:szCs w:val="20"/>
          <w:lang w:val="sr-Cyrl-BA" w:eastAsia="en-US"/>
        </w:rPr>
        <w:t xml:space="preserve">них средстава Фонда </w:t>
      </w:r>
      <w:r>
        <w:rPr>
          <w:rFonts w:asciiTheme="minorHAnsi" w:eastAsiaTheme="minorHAnsi" w:hAnsiTheme="minorHAnsi"/>
          <w:color w:val="auto"/>
          <w:sz w:val="20"/>
          <w:szCs w:val="20"/>
          <w:lang w:val="sr-Cyrl-BA" w:eastAsia="en-US"/>
        </w:rPr>
        <w:t>уложен</w:t>
      </w:r>
      <w:r w:rsidR="0066471A">
        <w:rPr>
          <w:rFonts w:asciiTheme="minorHAnsi" w:eastAsiaTheme="minorHAnsi" w:hAnsiTheme="minorHAnsi"/>
          <w:color w:val="auto"/>
          <w:sz w:val="20"/>
          <w:szCs w:val="20"/>
          <w:lang w:val="sr-Cyrl-BA" w:eastAsia="en-US"/>
        </w:rPr>
        <w:t>о</w:t>
      </w:r>
      <w:r>
        <w:rPr>
          <w:rFonts w:asciiTheme="minorHAnsi" w:eastAsiaTheme="minorHAnsi" w:hAnsiTheme="minorHAnsi"/>
          <w:color w:val="auto"/>
          <w:sz w:val="20"/>
          <w:szCs w:val="20"/>
          <w:lang w:val="sr-Cyrl-BA" w:eastAsia="en-US"/>
        </w:rPr>
        <w:t xml:space="preserve"> у </w:t>
      </w:r>
      <w:r w:rsidR="0066471A">
        <w:rPr>
          <w:rFonts w:asciiTheme="minorHAnsi" w:eastAsiaTheme="minorHAnsi" w:hAnsiTheme="minorHAnsi"/>
          <w:color w:val="auto"/>
          <w:sz w:val="20"/>
          <w:szCs w:val="20"/>
          <w:lang w:val="sr-Cyrl-BA" w:eastAsia="en-US"/>
        </w:rPr>
        <w:t>обвезнице различитих емитената, гдје су на првом мјесту обвезнице Републике Српске</w:t>
      </w:r>
      <w:r>
        <w:rPr>
          <w:rFonts w:asciiTheme="minorHAnsi" w:eastAsiaTheme="minorHAnsi" w:hAnsiTheme="minorHAnsi"/>
          <w:color w:val="auto"/>
          <w:sz w:val="20"/>
          <w:szCs w:val="20"/>
          <w:lang w:val="sr-Cyrl-BA" w:eastAsia="en-US"/>
        </w:rPr>
        <w:t xml:space="preserve">. </w:t>
      </w:r>
      <w:r w:rsidR="007E076E">
        <w:rPr>
          <w:rFonts w:asciiTheme="minorHAnsi" w:eastAsia="Calibri" w:hAnsiTheme="minorHAnsi"/>
          <w:color w:val="auto"/>
          <w:sz w:val="20"/>
          <w:szCs w:val="20"/>
          <w:lang w:val="sr-Cyrl-RS" w:eastAsia="en-US"/>
        </w:rPr>
        <w:t>Значајан</w:t>
      </w:r>
      <w:r>
        <w:rPr>
          <w:rFonts w:asciiTheme="minorHAnsi" w:eastAsia="Calibri" w:hAnsiTheme="minorHAnsi"/>
          <w:color w:val="auto"/>
          <w:sz w:val="20"/>
          <w:szCs w:val="20"/>
          <w:lang w:val="sr-Cyrl-RS" w:eastAsia="en-US"/>
        </w:rPr>
        <w:t xml:space="preserve"> дио средстава се налази у групи „остали пласмани“, </w:t>
      </w:r>
      <w:r w:rsidR="0066471A">
        <w:rPr>
          <w:rFonts w:asciiTheme="minorHAnsi" w:eastAsia="Calibri" w:hAnsiTheme="minorHAnsi"/>
          <w:color w:val="auto"/>
          <w:sz w:val="20"/>
          <w:szCs w:val="20"/>
          <w:lang w:val="sr-Cyrl-RS" w:eastAsia="en-US"/>
        </w:rPr>
        <w:t>који се односе</w:t>
      </w:r>
      <w:r>
        <w:rPr>
          <w:rFonts w:asciiTheme="minorHAnsi" w:eastAsia="Calibri" w:hAnsiTheme="minorHAnsi"/>
          <w:color w:val="auto"/>
          <w:sz w:val="20"/>
          <w:szCs w:val="20"/>
          <w:lang w:val="sr-Cyrl-RS" w:eastAsia="en-US"/>
        </w:rPr>
        <w:t xml:space="preserve"> на средства </w:t>
      </w:r>
      <w:r w:rsidR="007E076E">
        <w:rPr>
          <w:rFonts w:asciiTheme="minorHAnsi" w:eastAsia="Calibri" w:hAnsiTheme="minorHAnsi"/>
          <w:color w:val="auto"/>
          <w:sz w:val="20"/>
          <w:szCs w:val="20"/>
          <w:lang w:val="sr-Cyrl-RS" w:eastAsia="en-US"/>
        </w:rPr>
        <w:t>Фонда у</w:t>
      </w:r>
      <w:r>
        <w:rPr>
          <w:rFonts w:asciiTheme="minorHAnsi" w:eastAsia="Calibri" w:hAnsiTheme="minorHAnsi"/>
          <w:color w:val="auto"/>
          <w:sz w:val="20"/>
          <w:szCs w:val="20"/>
          <w:lang w:val="sr-Cyrl-RS" w:eastAsia="en-US"/>
        </w:rPr>
        <w:t xml:space="preserve"> </w:t>
      </w:r>
      <w:r w:rsidR="007E076E">
        <w:rPr>
          <w:rFonts w:asciiTheme="minorHAnsi" w:eastAsia="Calibri" w:hAnsiTheme="minorHAnsi"/>
          <w:color w:val="auto"/>
          <w:sz w:val="20"/>
          <w:szCs w:val="20"/>
          <w:lang w:val="sr-Cyrl-RS" w:eastAsia="en-US"/>
        </w:rPr>
        <w:t>Бобар банци-</w:t>
      </w:r>
      <w:r>
        <w:rPr>
          <w:rFonts w:asciiTheme="minorHAnsi" w:eastAsia="Calibri" w:hAnsiTheme="minorHAnsi"/>
          <w:color w:val="auto"/>
          <w:sz w:val="20"/>
          <w:szCs w:val="20"/>
          <w:lang w:val="sr-Cyrl-RS" w:eastAsia="en-US"/>
        </w:rPr>
        <w:t>у</w:t>
      </w:r>
      <w:r w:rsidR="007E076E">
        <w:rPr>
          <w:rFonts w:asciiTheme="minorHAnsi" w:eastAsia="Calibri" w:hAnsiTheme="minorHAnsi"/>
          <w:color w:val="auto"/>
          <w:sz w:val="20"/>
          <w:szCs w:val="20"/>
          <w:lang w:val="sr-Cyrl-RS" w:eastAsia="en-US"/>
        </w:rPr>
        <w:t xml:space="preserve"> ликвидацији</w:t>
      </w:r>
      <w:r>
        <w:rPr>
          <w:rFonts w:asciiTheme="minorHAnsi" w:eastAsia="Calibri" w:hAnsiTheme="minorHAnsi"/>
          <w:color w:val="auto"/>
          <w:sz w:val="20"/>
          <w:szCs w:val="20"/>
          <w:lang w:val="sr-Cyrl-RS" w:eastAsia="en-US"/>
        </w:rPr>
        <w:t xml:space="preserve"> </w:t>
      </w:r>
      <w:r w:rsidR="007E076E">
        <w:rPr>
          <w:rFonts w:asciiTheme="minorHAnsi" w:eastAsia="Calibri" w:hAnsiTheme="minorHAnsi"/>
          <w:color w:val="auto"/>
          <w:sz w:val="20"/>
          <w:szCs w:val="20"/>
          <w:lang w:val="sr-Cyrl-RS" w:eastAsia="en-US"/>
        </w:rPr>
        <w:t xml:space="preserve">и Банци Српске-у стечају, те </w:t>
      </w:r>
      <w:r>
        <w:rPr>
          <w:rFonts w:asciiTheme="minorHAnsi" w:eastAsia="Calibri" w:hAnsiTheme="minorHAnsi"/>
          <w:color w:val="auto"/>
          <w:sz w:val="20"/>
          <w:szCs w:val="20"/>
          <w:lang w:val="sr-Cyrl-RS" w:eastAsia="en-US"/>
        </w:rPr>
        <w:t xml:space="preserve">пласмане за извршена плаћања по гаранцијама. </w:t>
      </w:r>
      <w:r w:rsidRPr="00DE3404">
        <w:rPr>
          <w:rFonts w:asciiTheme="minorHAnsi" w:eastAsia="Calibri" w:hAnsiTheme="minorHAnsi"/>
          <w:color w:val="auto"/>
          <w:sz w:val="20"/>
          <w:szCs w:val="20"/>
          <w:lang w:val="sr-Cyrl-RS" w:eastAsia="en-US"/>
        </w:rPr>
        <w:t xml:space="preserve">Табела </w:t>
      </w:r>
      <w:r w:rsidR="00125192" w:rsidRPr="00DE3404">
        <w:rPr>
          <w:rFonts w:asciiTheme="minorHAnsi" w:eastAsia="Calibri" w:hAnsiTheme="minorHAnsi"/>
          <w:color w:val="auto"/>
          <w:sz w:val="20"/>
          <w:szCs w:val="20"/>
          <w:lang w:val="sr-Cyrl-RS" w:eastAsia="en-US"/>
        </w:rPr>
        <w:t>22</w:t>
      </w:r>
      <w:r w:rsidRPr="00DE3404">
        <w:rPr>
          <w:rFonts w:asciiTheme="minorHAnsi" w:eastAsia="Calibri" w:hAnsiTheme="minorHAnsi"/>
          <w:color w:val="auto"/>
          <w:sz w:val="20"/>
          <w:szCs w:val="20"/>
          <w:lang w:val="sr-Cyrl-RS" w:eastAsia="en-US"/>
        </w:rPr>
        <w:t xml:space="preserve"> </w:t>
      </w:r>
      <w:r>
        <w:rPr>
          <w:rFonts w:asciiTheme="minorHAnsi" w:eastAsia="Calibri" w:hAnsiTheme="minorHAnsi"/>
          <w:color w:val="auto"/>
          <w:sz w:val="20"/>
          <w:szCs w:val="20"/>
          <w:lang w:val="sr-Cyrl-RS" w:eastAsia="en-US"/>
        </w:rPr>
        <w:t xml:space="preserve">даје преглед стања и структуре </w:t>
      </w:r>
      <w:r w:rsidR="007E076E">
        <w:rPr>
          <w:rFonts w:asciiTheme="minorHAnsi" w:eastAsia="Calibri" w:hAnsiTheme="minorHAnsi"/>
          <w:color w:val="auto"/>
          <w:sz w:val="20"/>
          <w:szCs w:val="20"/>
          <w:lang w:val="sr-Cyrl-RS" w:eastAsia="en-US"/>
        </w:rPr>
        <w:t>улагања новчаних средстава Фонда на дан 31.12.2024</w:t>
      </w:r>
      <w:r>
        <w:rPr>
          <w:rFonts w:asciiTheme="minorHAnsi" w:eastAsia="Calibri" w:hAnsiTheme="minorHAnsi"/>
          <w:color w:val="auto"/>
          <w:sz w:val="20"/>
          <w:szCs w:val="20"/>
          <w:lang w:val="sr-Cyrl-RS" w:eastAsia="en-US"/>
        </w:rPr>
        <w:t>. године.</w:t>
      </w:r>
    </w:p>
    <w:p w:rsidR="0090194B" w:rsidRDefault="0090194B" w:rsidP="008C6F9F">
      <w:pPr>
        <w:rPr>
          <w:rFonts w:asciiTheme="minorHAnsi" w:eastAsia="Calibri" w:hAnsiTheme="minorHAnsi"/>
          <w:color w:val="auto"/>
          <w:sz w:val="20"/>
          <w:szCs w:val="20"/>
          <w:lang w:val="sr-Cyrl-RS" w:eastAsia="en-US"/>
        </w:rPr>
      </w:pPr>
    </w:p>
    <w:p w:rsidR="001538EF" w:rsidRPr="005767EF" w:rsidRDefault="001538EF" w:rsidP="000C711B">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стања</w:t>
      </w:r>
      <w:r w:rsidR="003E21A9">
        <w:rPr>
          <w:rFonts w:asciiTheme="minorHAnsi" w:hAnsiTheme="minorHAnsi"/>
          <w:b/>
          <w:sz w:val="20"/>
          <w:szCs w:val="20"/>
          <w:lang w:val="sr-Cyrl-CS" w:eastAsia="sr-Cyrl-CS"/>
        </w:rPr>
        <w:t xml:space="preserve"> и структуре</w:t>
      </w:r>
      <w:r w:rsidRPr="005767EF">
        <w:rPr>
          <w:rFonts w:asciiTheme="minorHAnsi" w:hAnsiTheme="minorHAnsi"/>
          <w:b/>
          <w:sz w:val="20"/>
          <w:szCs w:val="20"/>
          <w:lang w:val="sr-Cyrl-CS" w:eastAsia="sr-Cyrl-CS"/>
        </w:rPr>
        <w:t xml:space="preserve"> слободних новчаних средстава на дан 31.12.202</w:t>
      </w:r>
      <w:r w:rsidR="00FB3757">
        <w:rPr>
          <w:rFonts w:asciiTheme="minorHAnsi" w:hAnsiTheme="minorHAnsi"/>
          <w:b/>
          <w:sz w:val="20"/>
          <w:szCs w:val="20"/>
          <w:lang w:val="sr-Cyrl-CS" w:eastAsia="sr-Cyrl-CS"/>
        </w:rPr>
        <w:t>4</w:t>
      </w:r>
      <w:r w:rsidRPr="005767EF">
        <w:rPr>
          <w:rFonts w:asciiTheme="minorHAnsi" w:hAnsiTheme="minorHAnsi"/>
          <w:b/>
          <w:sz w:val="20"/>
          <w:szCs w:val="20"/>
          <w:lang w:val="sr-Cyrl-CS" w:eastAsia="sr-Cyrl-CS"/>
        </w:rPr>
        <w:t>. године</w:t>
      </w:r>
    </w:p>
    <w:p w:rsidR="001538EF" w:rsidRPr="005767EF" w:rsidRDefault="001538EF" w:rsidP="001538EF">
      <w:pPr>
        <w:jc w:val="left"/>
        <w:rPr>
          <w:rFonts w:asciiTheme="minorHAnsi" w:hAnsiTheme="minorHAnsi"/>
          <w:b/>
          <w:sz w:val="20"/>
          <w:szCs w:val="20"/>
          <w:lang w:val="sr-Cyrl-CS" w:eastAsia="sr-Cyrl-CS"/>
        </w:rPr>
      </w:pPr>
    </w:p>
    <w:p w:rsidR="001538EF" w:rsidRPr="005767EF"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sr-Cyrl-BA" w:eastAsia="en-US"/>
        </w:rPr>
        <w:t xml:space="preserve">         </w:t>
      </w:r>
      <w:r w:rsidR="000401FD">
        <w:rPr>
          <w:rFonts w:asciiTheme="minorHAnsi" w:eastAsia="Calibri" w:hAnsiTheme="minorHAnsi"/>
          <w:color w:val="auto"/>
          <w:sz w:val="20"/>
          <w:szCs w:val="20"/>
          <w:lang w:val="sr-Cyrl-BA" w:eastAsia="en-US"/>
        </w:rPr>
        <w:t xml:space="preserve">    </w:t>
      </w:r>
      <w:r w:rsidRPr="005767EF">
        <w:rPr>
          <w:rFonts w:asciiTheme="minorHAnsi" w:eastAsia="Calibri" w:hAnsiTheme="minorHAnsi"/>
          <w:color w:val="auto"/>
          <w:sz w:val="20"/>
          <w:szCs w:val="20"/>
          <w:lang w:val="sr-Cyrl-BA" w:eastAsia="en-US"/>
        </w:rPr>
        <w:t xml:space="preserve">     </w:t>
      </w:r>
      <w:r w:rsidR="000401FD">
        <w:rPr>
          <w:rFonts w:asciiTheme="minorHAnsi" w:eastAsia="Calibri" w:hAnsiTheme="minorHAnsi"/>
          <w:b/>
          <w:color w:val="auto"/>
          <w:sz w:val="20"/>
          <w:szCs w:val="20"/>
          <w:lang w:val="sr-Cyrl-BA" w:eastAsia="en-US"/>
        </w:rPr>
        <w:t>Табела 2</w:t>
      </w:r>
      <w:r w:rsidR="0034546F">
        <w:rPr>
          <w:rFonts w:asciiTheme="minorHAnsi" w:eastAsia="Calibri" w:hAnsiTheme="minorHAnsi"/>
          <w:b/>
          <w:color w:val="auto"/>
          <w:sz w:val="20"/>
          <w:szCs w:val="20"/>
          <w:lang w:val="sr-Cyrl-BA" w:eastAsia="en-US"/>
        </w:rPr>
        <w:t>2</w:t>
      </w:r>
    </w:p>
    <w:tbl>
      <w:tblPr>
        <w:tblW w:w="8804" w:type="dxa"/>
        <w:tblInd w:w="93" w:type="dxa"/>
        <w:tblLook w:val="04A0" w:firstRow="1" w:lastRow="0" w:firstColumn="1" w:lastColumn="0" w:noHBand="0" w:noVBand="1"/>
      </w:tblPr>
      <w:tblGrid>
        <w:gridCol w:w="2740"/>
        <w:gridCol w:w="1670"/>
        <w:gridCol w:w="1701"/>
        <w:gridCol w:w="1134"/>
        <w:gridCol w:w="1559"/>
      </w:tblGrid>
      <w:tr w:rsidR="00D36A7E" w:rsidRPr="00D36A7E" w:rsidTr="00D36A7E">
        <w:trPr>
          <w:trHeight w:val="510"/>
        </w:trPr>
        <w:tc>
          <w:tcPr>
            <w:tcW w:w="2740" w:type="dxa"/>
            <w:tcBorders>
              <w:top w:val="single" w:sz="4" w:space="0" w:color="auto"/>
              <w:left w:val="single" w:sz="4" w:space="0" w:color="auto"/>
              <w:bottom w:val="single" w:sz="4" w:space="0" w:color="auto"/>
              <w:right w:val="single" w:sz="4" w:space="0" w:color="auto"/>
            </w:tcBorders>
            <w:shd w:val="clear" w:color="000000" w:fill="8DB3E2"/>
            <w:noWrap/>
            <w:vAlign w:val="center"/>
            <w:hideMark/>
          </w:tcPr>
          <w:p w:rsidR="00D36A7E" w:rsidRPr="00D36A7E" w:rsidRDefault="00D36A7E" w:rsidP="00D36A7E">
            <w:pPr>
              <w:jc w:val="center"/>
              <w:rPr>
                <w:rFonts w:ascii="Calibri" w:hAnsi="Calibri"/>
                <w:b/>
                <w:bCs/>
                <w:sz w:val="20"/>
                <w:szCs w:val="20"/>
              </w:rPr>
            </w:pPr>
            <w:r w:rsidRPr="00D36A7E">
              <w:rPr>
                <w:rFonts w:ascii="Calibri" w:hAnsi="Calibri"/>
                <w:b/>
                <w:bCs/>
                <w:sz w:val="20"/>
                <w:szCs w:val="20"/>
              </w:rPr>
              <w:t xml:space="preserve">Врста пласмана </w:t>
            </w:r>
          </w:p>
        </w:tc>
        <w:tc>
          <w:tcPr>
            <w:tcW w:w="1670" w:type="dxa"/>
            <w:tcBorders>
              <w:top w:val="single" w:sz="4" w:space="0" w:color="auto"/>
              <w:left w:val="nil"/>
              <w:bottom w:val="single" w:sz="4" w:space="0" w:color="auto"/>
              <w:right w:val="single" w:sz="4" w:space="0" w:color="auto"/>
            </w:tcBorders>
            <w:shd w:val="clear" w:color="000000" w:fill="8DB3E2"/>
            <w:vAlign w:val="center"/>
            <w:hideMark/>
          </w:tcPr>
          <w:p w:rsidR="00D36A7E" w:rsidRPr="00D36A7E" w:rsidRDefault="00D36A7E" w:rsidP="00D36A7E">
            <w:pPr>
              <w:jc w:val="center"/>
              <w:rPr>
                <w:rFonts w:ascii="Calibri" w:hAnsi="Calibri"/>
                <w:b/>
                <w:bCs/>
                <w:sz w:val="20"/>
                <w:szCs w:val="20"/>
              </w:rPr>
            </w:pPr>
            <w:r w:rsidRPr="00D36A7E">
              <w:rPr>
                <w:rFonts w:ascii="Calibri" w:hAnsi="Calibri"/>
                <w:b/>
                <w:bCs/>
                <w:sz w:val="20"/>
                <w:szCs w:val="20"/>
              </w:rPr>
              <w:t>Стање на дан 31.12.2023.</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D36A7E" w:rsidRPr="00D36A7E" w:rsidRDefault="00D36A7E" w:rsidP="00D36A7E">
            <w:pPr>
              <w:jc w:val="center"/>
              <w:rPr>
                <w:rFonts w:ascii="Calibri" w:hAnsi="Calibri"/>
                <w:b/>
                <w:bCs/>
                <w:sz w:val="20"/>
                <w:szCs w:val="20"/>
              </w:rPr>
            </w:pPr>
            <w:r w:rsidRPr="00D36A7E">
              <w:rPr>
                <w:rFonts w:ascii="Calibri" w:hAnsi="Calibri"/>
                <w:b/>
                <w:bCs/>
                <w:sz w:val="20"/>
                <w:szCs w:val="20"/>
              </w:rPr>
              <w:t>Стање на дан 31.12.2024.</w:t>
            </w:r>
          </w:p>
        </w:tc>
        <w:tc>
          <w:tcPr>
            <w:tcW w:w="1134" w:type="dxa"/>
            <w:tcBorders>
              <w:top w:val="single" w:sz="4" w:space="0" w:color="auto"/>
              <w:left w:val="nil"/>
              <w:bottom w:val="single" w:sz="4" w:space="0" w:color="auto"/>
              <w:right w:val="single" w:sz="4" w:space="0" w:color="auto"/>
            </w:tcBorders>
            <w:shd w:val="clear" w:color="000000" w:fill="8DB3E2"/>
            <w:vAlign w:val="center"/>
            <w:hideMark/>
          </w:tcPr>
          <w:p w:rsidR="00D36A7E" w:rsidRPr="00D36A7E" w:rsidRDefault="00D36A7E" w:rsidP="00D36A7E">
            <w:pPr>
              <w:jc w:val="center"/>
              <w:rPr>
                <w:rFonts w:ascii="Calibri" w:hAnsi="Calibri"/>
                <w:b/>
                <w:bCs/>
                <w:sz w:val="20"/>
                <w:szCs w:val="20"/>
              </w:rPr>
            </w:pPr>
            <w:r w:rsidRPr="00D36A7E">
              <w:rPr>
                <w:rFonts w:ascii="Calibri" w:hAnsi="Calibri"/>
                <w:b/>
                <w:bCs/>
                <w:sz w:val="20"/>
                <w:szCs w:val="20"/>
              </w:rPr>
              <w:t xml:space="preserve">Индекс </w:t>
            </w:r>
          </w:p>
        </w:tc>
        <w:tc>
          <w:tcPr>
            <w:tcW w:w="1559" w:type="dxa"/>
            <w:tcBorders>
              <w:top w:val="single" w:sz="4" w:space="0" w:color="auto"/>
              <w:left w:val="nil"/>
              <w:bottom w:val="single" w:sz="4" w:space="0" w:color="auto"/>
              <w:right w:val="single" w:sz="4" w:space="0" w:color="auto"/>
            </w:tcBorders>
            <w:shd w:val="clear" w:color="000000" w:fill="8DB3E2"/>
            <w:vAlign w:val="center"/>
            <w:hideMark/>
          </w:tcPr>
          <w:p w:rsidR="00D36A7E" w:rsidRPr="00D36A7E" w:rsidRDefault="00D36A7E" w:rsidP="00D36A7E">
            <w:pPr>
              <w:jc w:val="center"/>
              <w:rPr>
                <w:rFonts w:ascii="Calibri" w:hAnsi="Calibri"/>
                <w:b/>
                <w:bCs/>
                <w:sz w:val="20"/>
                <w:szCs w:val="20"/>
              </w:rPr>
            </w:pPr>
            <w:r w:rsidRPr="00D36A7E">
              <w:rPr>
                <w:rFonts w:ascii="Calibri" w:hAnsi="Calibri"/>
                <w:b/>
                <w:bCs/>
                <w:sz w:val="20"/>
                <w:szCs w:val="20"/>
              </w:rPr>
              <w:t>Структура</w:t>
            </w:r>
          </w:p>
        </w:tc>
      </w:tr>
      <w:tr w:rsidR="00D36A7E" w:rsidRPr="00D36A7E" w:rsidTr="00D36A7E">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D36A7E" w:rsidRPr="00D36A7E" w:rsidRDefault="00D36A7E" w:rsidP="00D36A7E">
            <w:pPr>
              <w:jc w:val="left"/>
              <w:rPr>
                <w:rFonts w:ascii="Calibri" w:hAnsi="Calibri"/>
                <w:sz w:val="20"/>
                <w:szCs w:val="20"/>
              </w:rPr>
            </w:pPr>
            <w:r w:rsidRPr="00D36A7E">
              <w:rPr>
                <w:rFonts w:ascii="Calibri" w:hAnsi="Calibri"/>
                <w:sz w:val="20"/>
                <w:szCs w:val="20"/>
              </w:rPr>
              <w:t>Жиро рачуни Фонда</w:t>
            </w:r>
          </w:p>
        </w:tc>
        <w:tc>
          <w:tcPr>
            <w:tcW w:w="1670"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853.712,34</w:t>
            </w:r>
          </w:p>
        </w:tc>
        <w:tc>
          <w:tcPr>
            <w:tcW w:w="1701"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715.799,04</w:t>
            </w:r>
          </w:p>
        </w:tc>
        <w:tc>
          <w:tcPr>
            <w:tcW w:w="1134"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83,85</w:t>
            </w:r>
          </w:p>
        </w:tc>
        <w:tc>
          <w:tcPr>
            <w:tcW w:w="1559" w:type="dxa"/>
            <w:tcBorders>
              <w:top w:val="nil"/>
              <w:left w:val="nil"/>
              <w:bottom w:val="single" w:sz="4" w:space="0" w:color="auto"/>
              <w:right w:val="single" w:sz="4" w:space="0" w:color="auto"/>
            </w:tcBorders>
            <w:shd w:val="clear" w:color="auto" w:fill="auto"/>
            <w:noWrap/>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4,95%</w:t>
            </w:r>
          </w:p>
        </w:tc>
      </w:tr>
      <w:tr w:rsidR="00D36A7E" w:rsidRPr="00D36A7E" w:rsidTr="00D36A7E">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D36A7E" w:rsidRPr="00D36A7E" w:rsidRDefault="00D36A7E" w:rsidP="00D36A7E">
            <w:pPr>
              <w:jc w:val="left"/>
              <w:rPr>
                <w:rFonts w:ascii="Calibri" w:hAnsi="Calibri"/>
                <w:sz w:val="20"/>
                <w:szCs w:val="20"/>
              </w:rPr>
            </w:pPr>
            <w:r w:rsidRPr="00D36A7E">
              <w:rPr>
                <w:rFonts w:ascii="Calibri" w:hAnsi="Calibri"/>
                <w:sz w:val="20"/>
                <w:szCs w:val="20"/>
                <w:lang w:val="sr-Cyrl-BA"/>
              </w:rPr>
              <w:t>Орочена штедња</w:t>
            </w:r>
          </w:p>
        </w:tc>
        <w:tc>
          <w:tcPr>
            <w:tcW w:w="1670"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100.000,00</w:t>
            </w:r>
          </w:p>
        </w:tc>
        <w:tc>
          <w:tcPr>
            <w:tcW w:w="1701"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0,00</w:t>
            </w:r>
          </w:p>
        </w:tc>
        <w:tc>
          <w:tcPr>
            <w:tcW w:w="1559" w:type="dxa"/>
            <w:tcBorders>
              <w:top w:val="nil"/>
              <w:left w:val="nil"/>
              <w:bottom w:val="single" w:sz="4" w:space="0" w:color="auto"/>
              <w:right w:val="single" w:sz="4" w:space="0" w:color="auto"/>
            </w:tcBorders>
            <w:shd w:val="clear" w:color="auto" w:fill="auto"/>
            <w:noWrap/>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0,00%</w:t>
            </w:r>
          </w:p>
        </w:tc>
      </w:tr>
      <w:tr w:rsidR="00D36A7E" w:rsidRPr="00D36A7E" w:rsidTr="00D36A7E">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D36A7E" w:rsidRPr="00D36A7E" w:rsidRDefault="00D36A7E" w:rsidP="00D36A7E">
            <w:pPr>
              <w:jc w:val="left"/>
              <w:rPr>
                <w:rFonts w:ascii="Calibri" w:hAnsi="Calibri"/>
                <w:sz w:val="20"/>
                <w:szCs w:val="20"/>
              </w:rPr>
            </w:pPr>
            <w:r w:rsidRPr="00D36A7E">
              <w:rPr>
                <w:rFonts w:ascii="Calibri" w:hAnsi="Calibri"/>
                <w:sz w:val="20"/>
                <w:szCs w:val="20"/>
              </w:rPr>
              <w:t>Улагања у дужничке ХОВ</w:t>
            </w:r>
          </w:p>
        </w:tc>
        <w:tc>
          <w:tcPr>
            <w:tcW w:w="1670"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11.506.846,34</w:t>
            </w:r>
          </w:p>
        </w:tc>
        <w:tc>
          <w:tcPr>
            <w:tcW w:w="1701"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color w:val="auto"/>
                <w:sz w:val="20"/>
                <w:szCs w:val="20"/>
              </w:rPr>
            </w:pPr>
            <w:r w:rsidRPr="00D36A7E">
              <w:rPr>
                <w:rFonts w:ascii="Calibri" w:hAnsi="Calibri"/>
                <w:color w:val="auto"/>
                <w:sz w:val="20"/>
                <w:szCs w:val="20"/>
              </w:rPr>
              <w:t>8.058.536,51</w:t>
            </w:r>
          </w:p>
        </w:tc>
        <w:tc>
          <w:tcPr>
            <w:tcW w:w="1134"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70,03</w:t>
            </w:r>
          </w:p>
        </w:tc>
        <w:tc>
          <w:tcPr>
            <w:tcW w:w="1559" w:type="dxa"/>
            <w:tcBorders>
              <w:top w:val="nil"/>
              <w:left w:val="nil"/>
              <w:bottom w:val="single" w:sz="4" w:space="0" w:color="auto"/>
              <w:right w:val="single" w:sz="4" w:space="0" w:color="auto"/>
            </w:tcBorders>
            <w:shd w:val="clear" w:color="auto" w:fill="auto"/>
            <w:noWrap/>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55,70%</w:t>
            </w:r>
          </w:p>
        </w:tc>
      </w:tr>
      <w:tr w:rsidR="00D36A7E" w:rsidRPr="00D36A7E" w:rsidTr="00D36A7E">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D36A7E" w:rsidRPr="00D36A7E" w:rsidRDefault="00D36A7E" w:rsidP="00D36A7E">
            <w:pPr>
              <w:jc w:val="left"/>
              <w:rPr>
                <w:rFonts w:ascii="Calibri" w:hAnsi="Calibri"/>
                <w:sz w:val="20"/>
                <w:szCs w:val="20"/>
              </w:rPr>
            </w:pPr>
            <w:r w:rsidRPr="00D36A7E">
              <w:rPr>
                <w:rFonts w:ascii="Calibri" w:hAnsi="Calibri"/>
                <w:sz w:val="20"/>
                <w:szCs w:val="20"/>
              </w:rPr>
              <w:t>Удјели</w:t>
            </w:r>
          </w:p>
        </w:tc>
        <w:tc>
          <w:tcPr>
            <w:tcW w:w="1670"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0,00</w:t>
            </w:r>
          </w:p>
        </w:tc>
        <w:tc>
          <w:tcPr>
            <w:tcW w:w="1701"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126.787,43</w:t>
            </w:r>
          </w:p>
        </w:tc>
        <w:tc>
          <w:tcPr>
            <w:tcW w:w="1134"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0,88%</w:t>
            </w:r>
          </w:p>
        </w:tc>
      </w:tr>
      <w:tr w:rsidR="00D36A7E" w:rsidRPr="00D36A7E" w:rsidTr="00D36A7E">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D36A7E" w:rsidRPr="00D36A7E" w:rsidRDefault="00D36A7E" w:rsidP="00D36A7E">
            <w:pPr>
              <w:jc w:val="left"/>
              <w:rPr>
                <w:rFonts w:ascii="Calibri" w:hAnsi="Calibri"/>
                <w:sz w:val="20"/>
                <w:szCs w:val="20"/>
              </w:rPr>
            </w:pPr>
            <w:r w:rsidRPr="00D36A7E">
              <w:rPr>
                <w:rFonts w:ascii="Calibri" w:hAnsi="Calibri"/>
                <w:sz w:val="20"/>
                <w:szCs w:val="20"/>
              </w:rPr>
              <w:t xml:space="preserve">Остали пласмани </w:t>
            </w:r>
          </w:p>
        </w:tc>
        <w:tc>
          <w:tcPr>
            <w:tcW w:w="1670"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7.216.790,89</w:t>
            </w:r>
          </w:p>
        </w:tc>
        <w:tc>
          <w:tcPr>
            <w:tcW w:w="1701"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5.565.460,56</w:t>
            </w:r>
          </w:p>
        </w:tc>
        <w:tc>
          <w:tcPr>
            <w:tcW w:w="1134" w:type="dxa"/>
            <w:tcBorders>
              <w:top w:val="nil"/>
              <w:left w:val="nil"/>
              <w:bottom w:val="single" w:sz="4" w:space="0" w:color="auto"/>
              <w:right w:val="single" w:sz="4" w:space="0" w:color="auto"/>
            </w:tcBorders>
            <w:shd w:val="clear" w:color="auto" w:fill="auto"/>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lang w:val="sr-Cyrl-BA"/>
              </w:rPr>
              <w:t>77,12</w:t>
            </w:r>
          </w:p>
        </w:tc>
        <w:tc>
          <w:tcPr>
            <w:tcW w:w="1559" w:type="dxa"/>
            <w:tcBorders>
              <w:top w:val="nil"/>
              <w:left w:val="nil"/>
              <w:bottom w:val="single" w:sz="4" w:space="0" w:color="auto"/>
              <w:right w:val="single" w:sz="4" w:space="0" w:color="auto"/>
            </w:tcBorders>
            <w:shd w:val="clear" w:color="auto" w:fill="auto"/>
            <w:noWrap/>
            <w:vAlign w:val="center"/>
            <w:hideMark/>
          </w:tcPr>
          <w:p w:rsidR="00D36A7E" w:rsidRPr="00D36A7E" w:rsidRDefault="00D36A7E" w:rsidP="00D36A7E">
            <w:pPr>
              <w:jc w:val="right"/>
              <w:rPr>
                <w:rFonts w:ascii="Calibri" w:hAnsi="Calibri"/>
                <w:sz w:val="20"/>
                <w:szCs w:val="20"/>
              </w:rPr>
            </w:pPr>
            <w:r w:rsidRPr="00D36A7E">
              <w:rPr>
                <w:rFonts w:ascii="Calibri" w:hAnsi="Calibri"/>
                <w:sz w:val="20"/>
                <w:szCs w:val="20"/>
              </w:rPr>
              <w:t>38,47%</w:t>
            </w:r>
          </w:p>
        </w:tc>
      </w:tr>
      <w:tr w:rsidR="00D36A7E" w:rsidRPr="00D36A7E" w:rsidTr="00D36A7E">
        <w:trPr>
          <w:trHeight w:val="315"/>
        </w:trPr>
        <w:tc>
          <w:tcPr>
            <w:tcW w:w="2740" w:type="dxa"/>
            <w:tcBorders>
              <w:top w:val="nil"/>
              <w:left w:val="single" w:sz="4" w:space="0" w:color="auto"/>
              <w:bottom w:val="single" w:sz="4" w:space="0" w:color="auto"/>
              <w:right w:val="single" w:sz="4" w:space="0" w:color="auto"/>
            </w:tcBorders>
            <w:shd w:val="clear" w:color="000000" w:fill="8DB3E2"/>
            <w:noWrap/>
            <w:vAlign w:val="center"/>
            <w:hideMark/>
          </w:tcPr>
          <w:p w:rsidR="00D36A7E" w:rsidRPr="00D36A7E" w:rsidRDefault="00D36A7E" w:rsidP="00D36A7E">
            <w:pPr>
              <w:jc w:val="left"/>
              <w:rPr>
                <w:rFonts w:ascii="Calibri" w:hAnsi="Calibri"/>
                <w:b/>
                <w:bCs/>
                <w:sz w:val="20"/>
                <w:szCs w:val="20"/>
              </w:rPr>
            </w:pPr>
            <w:r w:rsidRPr="00D36A7E">
              <w:rPr>
                <w:rFonts w:ascii="Calibri" w:hAnsi="Calibri"/>
                <w:b/>
                <w:bCs/>
                <w:sz w:val="20"/>
                <w:szCs w:val="20"/>
                <w:lang w:val="sr-Cyrl-BA"/>
              </w:rPr>
              <w:t xml:space="preserve">Свеукупно </w:t>
            </w:r>
          </w:p>
        </w:tc>
        <w:tc>
          <w:tcPr>
            <w:tcW w:w="1670" w:type="dxa"/>
            <w:tcBorders>
              <w:top w:val="nil"/>
              <w:left w:val="nil"/>
              <w:bottom w:val="single" w:sz="4" w:space="0" w:color="auto"/>
              <w:right w:val="single" w:sz="4" w:space="0" w:color="auto"/>
            </w:tcBorders>
            <w:shd w:val="clear" w:color="000000" w:fill="8DB3E2"/>
            <w:noWrap/>
            <w:vAlign w:val="center"/>
            <w:hideMark/>
          </w:tcPr>
          <w:p w:rsidR="00D36A7E" w:rsidRPr="00D36A7E" w:rsidRDefault="00D36A7E" w:rsidP="00D36A7E">
            <w:pPr>
              <w:jc w:val="right"/>
              <w:rPr>
                <w:rFonts w:ascii="Calibri" w:hAnsi="Calibri"/>
                <w:b/>
                <w:bCs/>
                <w:sz w:val="20"/>
                <w:szCs w:val="20"/>
              </w:rPr>
            </w:pPr>
            <w:r w:rsidRPr="00D36A7E">
              <w:rPr>
                <w:rFonts w:ascii="Calibri" w:hAnsi="Calibri"/>
                <w:b/>
                <w:bCs/>
                <w:sz w:val="20"/>
                <w:szCs w:val="20"/>
                <w:lang w:val="sr-Cyrl-BA"/>
              </w:rPr>
              <w:t>19.677.349,57</w:t>
            </w:r>
          </w:p>
        </w:tc>
        <w:tc>
          <w:tcPr>
            <w:tcW w:w="1701" w:type="dxa"/>
            <w:tcBorders>
              <w:top w:val="nil"/>
              <w:left w:val="nil"/>
              <w:bottom w:val="single" w:sz="4" w:space="0" w:color="auto"/>
              <w:right w:val="single" w:sz="4" w:space="0" w:color="auto"/>
            </w:tcBorders>
            <w:shd w:val="clear" w:color="000000" w:fill="8DB3E2"/>
            <w:noWrap/>
            <w:vAlign w:val="center"/>
            <w:hideMark/>
          </w:tcPr>
          <w:p w:rsidR="00D36A7E" w:rsidRPr="00D36A7E" w:rsidRDefault="00D36A7E" w:rsidP="00D36A7E">
            <w:pPr>
              <w:jc w:val="right"/>
              <w:rPr>
                <w:rFonts w:ascii="Calibri" w:hAnsi="Calibri"/>
                <w:b/>
                <w:bCs/>
                <w:sz w:val="20"/>
                <w:szCs w:val="20"/>
              </w:rPr>
            </w:pPr>
            <w:r w:rsidRPr="00D36A7E">
              <w:rPr>
                <w:rFonts w:ascii="Calibri" w:hAnsi="Calibri"/>
                <w:b/>
                <w:bCs/>
                <w:sz w:val="20"/>
                <w:szCs w:val="20"/>
              </w:rPr>
              <w:t>14.466.583,54</w:t>
            </w:r>
          </w:p>
        </w:tc>
        <w:tc>
          <w:tcPr>
            <w:tcW w:w="1134" w:type="dxa"/>
            <w:tcBorders>
              <w:top w:val="nil"/>
              <w:left w:val="nil"/>
              <w:bottom w:val="single" w:sz="4" w:space="0" w:color="auto"/>
              <w:right w:val="single" w:sz="4" w:space="0" w:color="auto"/>
            </w:tcBorders>
            <w:shd w:val="clear" w:color="000000" w:fill="8DB4E2"/>
            <w:vAlign w:val="center"/>
            <w:hideMark/>
          </w:tcPr>
          <w:p w:rsidR="00D36A7E" w:rsidRPr="00D36A7E" w:rsidRDefault="00D36A7E" w:rsidP="00D36A7E">
            <w:pPr>
              <w:jc w:val="right"/>
              <w:rPr>
                <w:rFonts w:ascii="Calibri" w:hAnsi="Calibri"/>
                <w:b/>
                <w:bCs/>
                <w:sz w:val="20"/>
                <w:szCs w:val="20"/>
              </w:rPr>
            </w:pPr>
            <w:r w:rsidRPr="00D36A7E">
              <w:rPr>
                <w:rFonts w:ascii="Calibri" w:hAnsi="Calibri"/>
                <w:b/>
                <w:bCs/>
                <w:sz w:val="20"/>
                <w:szCs w:val="20"/>
                <w:lang w:val="sr-Cyrl-BA"/>
              </w:rPr>
              <w:t>73,52</w:t>
            </w:r>
          </w:p>
        </w:tc>
        <w:tc>
          <w:tcPr>
            <w:tcW w:w="1559" w:type="dxa"/>
            <w:tcBorders>
              <w:top w:val="nil"/>
              <w:left w:val="nil"/>
              <w:bottom w:val="single" w:sz="4" w:space="0" w:color="auto"/>
              <w:right w:val="single" w:sz="4" w:space="0" w:color="auto"/>
            </w:tcBorders>
            <w:shd w:val="clear" w:color="000000" w:fill="8DB4E2"/>
            <w:noWrap/>
            <w:vAlign w:val="center"/>
            <w:hideMark/>
          </w:tcPr>
          <w:p w:rsidR="00D36A7E" w:rsidRPr="00D36A7E" w:rsidRDefault="00D36A7E" w:rsidP="00D36A7E">
            <w:pPr>
              <w:jc w:val="right"/>
              <w:rPr>
                <w:rFonts w:ascii="Calibri" w:hAnsi="Calibri"/>
                <w:b/>
                <w:bCs/>
                <w:sz w:val="20"/>
                <w:szCs w:val="20"/>
              </w:rPr>
            </w:pPr>
            <w:r w:rsidRPr="00D36A7E">
              <w:rPr>
                <w:rFonts w:ascii="Calibri" w:hAnsi="Calibri"/>
                <w:b/>
                <w:bCs/>
                <w:sz w:val="20"/>
                <w:szCs w:val="20"/>
              </w:rPr>
              <w:t>100,00%</w:t>
            </w:r>
          </w:p>
        </w:tc>
      </w:tr>
    </w:tbl>
    <w:p w:rsidR="00125192" w:rsidRDefault="00125192" w:rsidP="003E21A9">
      <w:pPr>
        <w:rPr>
          <w:rFonts w:asciiTheme="minorHAnsi" w:eastAsia="Calibri" w:hAnsiTheme="minorHAnsi"/>
          <w:color w:val="auto"/>
          <w:sz w:val="20"/>
          <w:szCs w:val="20"/>
          <w:lang w:val="en-GB" w:eastAsia="en-US"/>
        </w:rPr>
      </w:pPr>
    </w:p>
    <w:p w:rsidR="002335D6" w:rsidRDefault="003E21A9" w:rsidP="003E21A9">
      <w:pPr>
        <w:rPr>
          <w:rFonts w:asciiTheme="minorHAnsi" w:eastAsiaTheme="minorHAnsi" w:hAnsiTheme="minorHAnsi"/>
          <w:color w:val="auto"/>
          <w:sz w:val="20"/>
          <w:szCs w:val="20"/>
          <w:lang w:val="sr-Cyrl-RS" w:eastAsia="en-US"/>
        </w:rPr>
      </w:pPr>
      <w:r w:rsidRPr="007259AE">
        <w:rPr>
          <w:rFonts w:asciiTheme="minorHAnsi" w:eastAsia="Calibri" w:hAnsiTheme="minorHAnsi"/>
          <w:color w:val="auto"/>
          <w:sz w:val="20"/>
          <w:szCs w:val="20"/>
          <w:lang w:val="sr-Cyrl-RS" w:eastAsia="en-US"/>
        </w:rPr>
        <w:t>На дан 31.12.202</w:t>
      </w:r>
      <w:r w:rsidR="002335D6">
        <w:rPr>
          <w:rFonts w:asciiTheme="minorHAnsi" w:eastAsia="Calibri" w:hAnsiTheme="minorHAnsi"/>
          <w:color w:val="auto"/>
          <w:sz w:val="20"/>
          <w:szCs w:val="20"/>
          <w:lang w:val="sr-Cyrl-RS" w:eastAsia="en-US"/>
        </w:rPr>
        <w:t>4</w:t>
      </w:r>
      <w:r w:rsidRPr="007259AE">
        <w:rPr>
          <w:rFonts w:asciiTheme="minorHAnsi" w:eastAsia="Calibri" w:hAnsiTheme="minorHAnsi"/>
          <w:color w:val="auto"/>
          <w:sz w:val="20"/>
          <w:szCs w:val="20"/>
          <w:lang w:val="sr-Cyrl-RS" w:eastAsia="en-US"/>
        </w:rPr>
        <w:t xml:space="preserve">. године, средства Гарантног фонда на </w:t>
      </w:r>
      <w:r w:rsidRPr="007259AE">
        <w:rPr>
          <w:rFonts w:asciiTheme="minorHAnsi" w:eastAsiaTheme="minorHAnsi" w:hAnsiTheme="minorHAnsi"/>
          <w:color w:val="auto"/>
          <w:sz w:val="20"/>
          <w:szCs w:val="20"/>
          <w:lang w:val="sr-Cyrl-BA" w:eastAsia="en-US"/>
        </w:rPr>
        <w:t xml:space="preserve">жиро рачунима код финансијских посредника износе </w:t>
      </w:r>
      <w:r w:rsidR="002335D6">
        <w:rPr>
          <w:rFonts w:asciiTheme="minorHAnsi" w:eastAsiaTheme="minorHAnsi" w:hAnsiTheme="minorHAnsi"/>
          <w:color w:val="auto"/>
          <w:sz w:val="20"/>
          <w:szCs w:val="20"/>
          <w:lang w:val="sr-Cyrl-BA" w:eastAsia="en-US"/>
        </w:rPr>
        <w:t>715.799,04</w:t>
      </w:r>
      <w:r w:rsidRPr="007259AE">
        <w:rPr>
          <w:rFonts w:asciiTheme="minorHAnsi" w:eastAsiaTheme="minorHAnsi" w:hAnsiTheme="minorHAnsi"/>
          <w:color w:val="auto"/>
          <w:sz w:val="20"/>
          <w:szCs w:val="20"/>
          <w:lang w:val="sr-Cyrl-BA" w:eastAsia="en-US"/>
        </w:rPr>
        <w:t xml:space="preserve"> КМ. </w:t>
      </w:r>
      <w:r>
        <w:rPr>
          <w:rFonts w:asciiTheme="minorHAnsi" w:eastAsiaTheme="minorHAnsi" w:hAnsiTheme="minorHAnsi"/>
          <w:color w:val="auto"/>
          <w:sz w:val="20"/>
          <w:szCs w:val="20"/>
          <w:lang w:val="sr-Cyrl-BA" w:eastAsia="en-US"/>
        </w:rPr>
        <w:t>Од наведеног износа, н</w:t>
      </w:r>
      <w:r w:rsidRPr="007259AE">
        <w:rPr>
          <w:rFonts w:asciiTheme="minorHAnsi" w:eastAsiaTheme="minorHAnsi" w:hAnsiTheme="minorHAnsi"/>
          <w:color w:val="auto"/>
          <w:sz w:val="20"/>
          <w:szCs w:val="20"/>
          <w:lang w:val="sr-Cyrl-BA" w:eastAsia="en-US"/>
        </w:rPr>
        <w:t xml:space="preserve">ајвећи дио </w:t>
      </w:r>
      <w:r>
        <w:rPr>
          <w:rFonts w:asciiTheme="minorHAnsi" w:eastAsiaTheme="minorHAnsi" w:hAnsiTheme="minorHAnsi"/>
          <w:color w:val="auto"/>
          <w:sz w:val="20"/>
          <w:szCs w:val="20"/>
          <w:lang w:val="sr-Cyrl-BA" w:eastAsia="en-US"/>
        </w:rPr>
        <w:t xml:space="preserve">или </w:t>
      </w:r>
      <w:r w:rsidR="002335D6">
        <w:rPr>
          <w:rFonts w:asciiTheme="minorHAnsi" w:eastAsiaTheme="minorHAnsi" w:hAnsiTheme="minorHAnsi"/>
          <w:color w:val="auto"/>
          <w:sz w:val="20"/>
          <w:szCs w:val="20"/>
          <w:lang w:val="sr-Cyrl-BA" w:eastAsia="en-US"/>
        </w:rPr>
        <w:t xml:space="preserve">491.175,06 </w:t>
      </w:r>
      <w:r>
        <w:rPr>
          <w:rFonts w:asciiTheme="minorHAnsi" w:eastAsiaTheme="minorHAnsi" w:hAnsiTheme="minorHAnsi"/>
          <w:color w:val="auto"/>
          <w:sz w:val="20"/>
          <w:szCs w:val="20"/>
          <w:lang w:val="sr-Cyrl-BA" w:eastAsia="en-US"/>
        </w:rPr>
        <w:t xml:space="preserve">КМ </w:t>
      </w:r>
      <w:r w:rsidRPr="007259AE">
        <w:rPr>
          <w:rFonts w:asciiTheme="minorHAnsi" w:eastAsiaTheme="minorHAnsi" w:hAnsiTheme="minorHAnsi"/>
          <w:color w:val="auto"/>
          <w:sz w:val="20"/>
          <w:szCs w:val="20"/>
          <w:lang w:val="sr-Cyrl-BA" w:eastAsia="en-US"/>
        </w:rPr>
        <w:t xml:space="preserve">се налази </w:t>
      </w:r>
      <w:r w:rsidR="002335D6">
        <w:rPr>
          <w:rFonts w:asciiTheme="minorHAnsi" w:eastAsiaTheme="minorHAnsi" w:hAnsiTheme="minorHAnsi"/>
          <w:color w:val="auto"/>
          <w:sz w:val="20"/>
          <w:szCs w:val="20"/>
          <w:lang w:val="sr-Cyrl-BA" w:eastAsia="en-US"/>
        </w:rPr>
        <w:t xml:space="preserve">на </w:t>
      </w:r>
      <w:r>
        <w:rPr>
          <w:rFonts w:asciiTheme="minorHAnsi" w:eastAsiaTheme="minorHAnsi" w:hAnsiTheme="minorHAnsi"/>
          <w:color w:val="auto"/>
          <w:sz w:val="20"/>
          <w:szCs w:val="20"/>
          <w:lang w:val="sr-Cyrl-BA" w:eastAsia="en-US"/>
        </w:rPr>
        <w:t xml:space="preserve">главном </w:t>
      </w:r>
      <w:r w:rsidRPr="007259AE">
        <w:rPr>
          <w:rFonts w:asciiTheme="minorHAnsi" w:eastAsiaTheme="minorHAnsi" w:hAnsiTheme="minorHAnsi"/>
          <w:color w:val="auto"/>
          <w:sz w:val="20"/>
          <w:szCs w:val="20"/>
          <w:lang w:val="sr-Cyrl-BA" w:eastAsia="en-US"/>
        </w:rPr>
        <w:t xml:space="preserve">жиро рачуну код МФ банке а.д. Бања Лука, </w:t>
      </w:r>
      <w:r>
        <w:rPr>
          <w:rFonts w:asciiTheme="minorHAnsi" w:eastAsiaTheme="minorHAnsi" w:hAnsiTheme="minorHAnsi"/>
          <w:color w:val="auto"/>
          <w:sz w:val="20"/>
          <w:szCs w:val="20"/>
          <w:lang w:val="sr-Cyrl-BA" w:eastAsia="en-US"/>
        </w:rPr>
        <w:t>преко којег се обавља већина промета током године</w:t>
      </w:r>
      <w:r w:rsidR="002335D6">
        <w:rPr>
          <w:rFonts w:asciiTheme="minorHAnsi" w:eastAsiaTheme="minorHAnsi" w:hAnsiTheme="minorHAnsi"/>
          <w:color w:val="auto"/>
          <w:sz w:val="20"/>
          <w:szCs w:val="20"/>
          <w:lang w:val="sr-Cyrl-BA" w:eastAsia="en-US"/>
        </w:rPr>
        <w:t xml:space="preserve">. На рачуну у </w:t>
      </w:r>
      <w:r w:rsidR="002335D6">
        <w:rPr>
          <w:rFonts w:asciiTheme="minorHAnsi" w:eastAsiaTheme="minorHAnsi" w:hAnsiTheme="minorHAnsi"/>
          <w:color w:val="auto"/>
          <w:sz w:val="20"/>
          <w:szCs w:val="20"/>
          <w:lang w:eastAsia="en-US"/>
        </w:rPr>
        <w:t>Procredit</w:t>
      </w:r>
      <w:r w:rsidR="002335D6">
        <w:rPr>
          <w:rFonts w:asciiTheme="minorHAnsi" w:eastAsiaTheme="minorHAnsi" w:hAnsiTheme="minorHAnsi"/>
          <w:color w:val="auto"/>
          <w:sz w:val="20"/>
          <w:szCs w:val="20"/>
          <w:lang w:val="sr-Cyrl-RS" w:eastAsia="en-US"/>
        </w:rPr>
        <w:t xml:space="preserve"> банци се налази износ од 211.532,39 КМ, док средства у осталим банкама имају занемарљиво учешће.</w:t>
      </w:r>
    </w:p>
    <w:p w:rsidR="003E1DF3" w:rsidRPr="002335D6" w:rsidRDefault="003E1DF3" w:rsidP="003E21A9">
      <w:pPr>
        <w:rPr>
          <w:rFonts w:asciiTheme="minorHAnsi" w:eastAsiaTheme="minorHAnsi" w:hAnsiTheme="minorHAnsi"/>
          <w:color w:val="auto"/>
          <w:sz w:val="20"/>
          <w:szCs w:val="20"/>
          <w:lang w:val="sr-Cyrl-RS" w:eastAsia="en-US"/>
        </w:rPr>
      </w:pPr>
    </w:p>
    <w:p w:rsidR="002335D6" w:rsidRDefault="003E21A9" w:rsidP="007259AE">
      <w:pPr>
        <w:rPr>
          <w:rFonts w:asciiTheme="minorHAnsi" w:hAnsiTheme="minorHAnsi"/>
          <w:color w:val="auto"/>
          <w:sz w:val="20"/>
          <w:szCs w:val="20"/>
          <w:lang w:val="sr-Cyrl-RS"/>
        </w:rPr>
      </w:pPr>
      <w:r w:rsidRPr="00E663D1">
        <w:rPr>
          <w:rFonts w:asciiTheme="minorHAnsi" w:eastAsiaTheme="minorHAnsi" w:hAnsiTheme="minorHAnsi"/>
          <w:color w:val="auto"/>
          <w:sz w:val="20"/>
          <w:szCs w:val="20"/>
          <w:lang w:val="sr-Cyrl-BA" w:eastAsia="en-US"/>
        </w:rPr>
        <w:t>Остали пласмани у износу од 5.</w:t>
      </w:r>
      <w:r w:rsidR="002335D6">
        <w:rPr>
          <w:rFonts w:asciiTheme="minorHAnsi" w:eastAsiaTheme="minorHAnsi" w:hAnsiTheme="minorHAnsi"/>
          <w:color w:val="auto"/>
          <w:sz w:val="20"/>
          <w:szCs w:val="20"/>
          <w:lang w:val="sr-Cyrl-BA" w:eastAsia="en-US"/>
        </w:rPr>
        <w:t>565.460,56</w:t>
      </w:r>
      <w:r w:rsidRPr="00E663D1">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 xml:space="preserve">КМ се односе </w:t>
      </w:r>
      <w:r w:rsidRPr="00E663D1">
        <w:rPr>
          <w:rFonts w:asciiTheme="minorHAnsi" w:eastAsiaTheme="minorHAnsi" w:hAnsiTheme="minorHAnsi"/>
          <w:color w:val="auto"/>
          <w:sz w:val="20"/>
          <w:szCs w:val="20"/>
          <w:lang w:val="sr-Cyrl-BA" w:eastAsia="en-US"/>
        </w:rPr>
        <w:t xml:space="preserve">на пласмане у Банци Српске у стечају и Бобар банци у </w:t>
      </w:r>
      <w:r w:rsidR="002335D6">
        <w:rPr>
          <w:rFonts w:asciiTheme="minorHAnsi" w:eastAsiaTheme="minorHAnsi" w:hAnsiTheme="minorHAnsi"/>
          <w:color w:val="auto"/>
          <w:sz w:val="20"/>
          <w:szCs w:val="20"/>
          <w:lang w:val="sr-Cyrl-BA" w:eastAsia="en-US"/>
        </w:rPr>
        <w:t>ликвидацији</w:t>
      </w:r>
      <w:r>
        <w:rPr>
          <w:rFonts w:asciiTheme="minorHAnsi" w:eastAsiaTheme="minorHAnsi" w:hAnsiTheme="minorHAnsi"/>
          <w:color w:val="auto"/>
          <w:sz w:val="20"/>
          <w:szCs w:val="20"/>
          <w:lang w:val="sr-Cyrl-BA" w:eastAsia="en-US"/>
        </w:rPr>
        <w:t>, након исправке</w:t>
      </w:r>
      <w:r w:rsidRPr="00E663D1">
        <w:rPr>
          <w:rFonts w:asciiTheme="minorHAnsi" w:eastAsiaTheme="minorHAnsi" w:hAnsiTheme="minorHAnsi"/>
          <w:color w:val="auto"/>
          <w:sz w:val="20"/>
          <w:szCs w:val="20"/>
          <w:lang w:val="sr-Cyrl-BA" w:eastAsia="en-US"/>
        </w:rPr>
        <w:t xml:space="preserve"> вриједности и корекција по основу процјене наплативости </w:t>
      </w:r>
      <w:r w:rsidRPr="007E076E">
        <w:rPr>
          <w:rFonts w:asciiTheme="minorHAnsi" w:eastAsiaTheme="minorHAnsi" w:hAnsiTheme="minorHAnsi"/>
          <w:color w:val="auto"/>
          <w:sz w:val="20"/>
          <w:szCs w:val="20"/>
          <w:lang w:val="sr-Cyrl-BA" w:eastAsia="en-US"/>
        </w:rPr>
        <w:t>потраживања на дан 31.12.202</w:t>
      </w:r>
      <w:r w:rsidR="002335D6" w:rsidRPr="007E076E">
        <w:rPr>
          <w:rFonts w:asciiTheme="minorHAnsi" w:eastAsiaTheme="minorHAnsi" w:hAnsiTheme="minorHAnsi"/>
          <w:color w:val="auto"/>
          <w:sz w:val="20"/>
          <w:szCs w:val="20"/>
          <w:lang w:val="sr-Cyrl-BA" w:eastAsia="en-US"/>
        </w:rPr>
        <w:t>4</w:t>
      </w:r>
      <w:r w:rsidRPr="007E076E">
        <w:rPr>
          <w:rFonts w:asciiTheme="minorHAnsi" w:eastAsiaTheme="minorHAnsi" w:hAnsiTheme="minorHAnsi"/>
          <w:color w:val="auto"/>
          <w:sz w:val="20"/>
          <w:szCs w:val="20"/>
          <w:lang w:val="sr-Cyrl-BA" w:eastAsia="en-US"/>
        </w:rPr>
        <w:t xml:space="preserve">. године. </w:t>
      </w:r>
      <w:r w:rsidR="007E076E" w:rsidRPr="007E076E">
        <w:rPr>
          <w:rFonts w:asciiTheme="minorHAnsi" w:eastAsiaTheme="minorHAnsi" w:hAnsiTheme="minorHAnsi"/>
          <w:color w:val="auto"/>
          <w:sz w:val="20"/>
          <w:szCs w:val="20"/>
          <w:lang w:val="sr-Cyrl-BA" w:eastAsia="en-US"/>
        </w:rPr>
        <w:t xml:space="preserve">Процијењена вриједност потраживања од Бобар банке износи </w:t>
      </w:r>
      <w:r w:rsidR="007E076E" w:rsidRPr="007E076E">
        <w:rPr>
          <w:rFonts w:asciiTheme="minorHAnsi" w:hAnsiTheme="minorHAnsi"/>
          <w:color w:val="auto"/>
          <w:sz w:val="20"/>
          <w:szCs w:val="20"/>
          <w:lang w:val="sr-Cyrl-RS"/>
        </w:rPr>
        <w:t>3.510.872,43 КМ</w:t>
      </w:r>
      <w:r w:rsidR="007E076E" w:rsidRPr="007E076E">
        <w:rPr>
          <w:rFonts w:asciiTheme="minorHAnsi" w:hAnsiTheme="minorHAnsi"/>
          <w:sz w:val="20"/>
          <w:szCs w:val="20"/>
          <w:lang w:val="sr-Cyrl-RS"/>
        </w:rPr>
        <w:t xml:space="preserve">, док је процијењени износ потраживања од Банке Српске </w:t>
      </w:r>
      <w:r w:rsidR="007E076E" w:rsidRPr="007E076E">
        <w:rPr>
          <w:rFonts w:asciiTheme="minorHAnsi" w:hAnsiTheme="minorHAnsi"/>
          <w:color w:val="auto"/>
          <w:sz w:val="20"/>
          <w:szCs w:val="20"/>
          <w:lang w:val="sr-Cyrl-RS"/>
        </w:rPr>
        <w:t>2.054.588,13</w:t>
      </w:r>
      <w:r w:rsidR="007E076E" w:rsidRPr="007E076E">
        <w:rPr>
          <w:rFonts w:asciiTheme="minorHAnsi" w:hAnsiTheme="minorHAnsi"/>
          <w:color w:val="auto"/>
          <w:sz w:val="20"/>
          <w:szCs w:val="20"/>
          <w:lang w:val="sr-Latn-CS"/>
        </w:rPr>
        <w:t xml:space="preserve"> КМ</w:t>
      </w:r>
      <w:r w:rsidR="007E076E" w:rsidRPr="007E076E">
        <w:rPr>
          <w:rFonts w:asciiTheme="minorHAnsi" w:hAnsiTheme="minorHAnsi"/>
          <w:color w:val="auto"/>
          <w:sz w:val="20"/>
          <w:szCs w:val="20"/>
          <w:lang w:val="sr-Cyrl-RS"/>
        </w:rPr>
        <w:t>.</w:t>
      </w:r>
      <w:r w:rsidR="007E076E" w:rsidRPr="005D3925">
        <w:rPr>
          <w:rFonts w:asciiTheme="minorHAnsi" w:hAnsiTheme="minorHAnsi"/>
          <w:color w:val="auto"/>
          <w:sz w:val="20"/>
          <w:szCs w:val="20"/>
          <w:lang w:val="sr-Cyrl-RS"/>
        </w:rPr>
        <w:t xml:space="preserve"> </w:t>
      </w:r>
    </w:p>
    <w:p w:rsidR="00832469" w:rsidRPr="007B1F0E" w:rsidRDefault="007B1F0E" w:rsidP="007259AE">
      <w:pPr>
        <w:rPr>
          <w:lang w:val="sr-Cyrl-RS"/>
        </w:rPr>
      </w:pPr>
      <w:r>
        <w:rPr>
          <w:rFonts w:asciiTheme="minorHAnsi" w:hAnsiTheme="minorHAnsi"/>
          <w:color w:val="auto"/>
          <w:sz w:val="20"/>
          <w:szCs w:val="20"/>
          <w:lang w:val="sr-Cyrl-RS"/>
        </w:rPr>
        <w:t>Фонд је током 2024. године извршио улагање у износу од 120.000,00 КМ у удјеле отвореног инвестиционог фонда</w:t>
      </w:r>
      <w:r w:rsidR="00832469">
        <w:rPr>
          <w:rFonts w:asciiTheme="minorHAnsi" w:hAnsiTheme="minorHAnsi"/>
          <w:color w:val="auto"/>
          <w:sz w:val="20"/>
          <w:szCs w:val="20"/>
          <w:lang w:val="sr-Cyrl-RS"/>
        </w:rPr>
        <w:t xml:space="preserve"> </w:t>
      </w:r>
      <w:r>
        <w:rPr>
          <w:rFonts w:asciiTheme="minorHAnsi" w:hAnsiTheme="minorHAnsi"/>
          <w:color w:val="auto"/>
          <w:sz w:val="20"/>
          <w:szCs w:val="20"/>
          <w:lang w:val="sr-Cyrl-RS"/>
        </w:rPr>
        <w:t>М</w:t>
      </w:r>
      <w:r>
        <w:rPr>
          <w:rFonts w:asciiTheme="minorHAnsi" w:hAnsiTheme="minorHAnsi"/>
          <w:color w:val="auto"/>
          <w:sz w:val="20"/>
          <w:szCs w:val="20"/>
        </w:rPr>
        <w:t>S Loans</w:t>
      </w:r>
      <w:r>
        <w:rPr>
          <w:rFonts w:asciiTheme="minorHAnsi" w:hAnsiTheme="minorHAnsi"/>
          <w:color w:val="auto"/>
          <w:sz w:val="20"/>
          <w:szCs w:val="20"/>
          <w:lang w:val="sr-Cyrl-RS"/>
        </w:rPr>
        <w:t>, чија вриједност на дан 31.12.2024. године износи 126.787,43 КМ.</w:t>
      </w:r>
    </w:p>
    <w:p w:rsidR="003E21A9" w:rsidRDefault="007B1F0E" w:rsidP="007259AE">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Највећи</w:t>
      </w:r>
      <w:r w:rsidR="0066471A">
        <w:rPr>
          <w:rFonts w:asciiTheme="minorHAnsi" w:eastAsiaTheme="minorHAnsi" w:hAnsiTheme="minorHAnsi"/>
          <w:color w:val="auto"/>
          <w:sz w:val="20"/>
          <w:szCs w:val="20"/>
          <w:lang w:val="sr-Cyrl-BA" w:eastAsia="en-US"/>
        </w:rPr>
        <w:t xml:space="preserve"> дио слободних новчаних средстава </w:t>
      </w:r>
      <w:r>
        <w:rPr>
          <w:rFonts w:asciiTheme="minorHAnsi" w:eastAsiaTheme="minorHAnsi" w:hAnsiTheme="minorHAnsi"/>
          <w:color w:val="auto"/>
          <w:sz w:val="20"/>
          <w:szCs w:val="20"/>
          <w:lang w:val="sr-Cyrl-BA" w:eastAsia="en-US"/>
        </w:rPr>
        <w:t>Фонда је уложен</w:t>
      </w:r>
      <w:r w:rsidR="003E21A9">
        <w:rPr>
          <w:rFonts w:asciiTheme="minorHAnsi" w:eastAsiaTheme="minorHAnsi" w:hAnsiTheme="minorHAnsi"/>
          <w:color w:val="auto"/>
          <w:sz w:val="20"/>
          <w:szCs w:val="20"/>
          <w:lang w:val="sr-Cyrl-BA" w:eastAsia="en-US"/>
        </w:rPr>
        <w:t xml:space="preserve"> у дужничке хартије од вриједности чији су емитенти Република Српска, локалне заједнице, финансијске </w:t>
      </w:r>
      <w:r w:rsidR="0066471A">
        <w:rPr>
          <w:rFonts w:asciiTheme="minorHAnsi" w:eastAsiaTheme="minorHAnsi" w:hAnsiTheme="minorHAnsi"/>
          <w:color w:val="auto"/>
          <w:sz w:val="20"/>
          <w:szCs w:val="20"/>
          <w:lang w:val="sr-Cyrl-BA" w:eastAsia="en-US"/>
        </w:rPr>
        <w:t xml:space="preserve">институције и привредна друштва, </w:t>
      </w:r>
      <w:r>
        <w:rPr>
          <w:rFonts w:asciiTheme="minorHAnsi" w:eastAsiaTheme="minorHAnsi" w:hAnsiTheme="minorHAnsi"/>
          <w:color w:val="auto"/>
          <w:sz w:val="20"/>
          <w:szCs w:val="20"/>
          <w:lang w:val="sr-Cyrl-BA" w:eastAsia="en-US"/>
        </w:rPr>
        <w:t>уз поштовање ограничења дефинисаних</w:t>
      </w:r>
      <w:r w:rsidR="0066471A">
        <w:rPr>
          <w:rFonts w:asciiTheme="minorHAnsi" w:eastAsiaTheme="minorHAnsi" w:hAnsiTheme="minorHAnsi"/>
          <w:color w:val="auto"/>
          <w:sz w:val="20"/>
          <w:szCs w:val="20"/>
          <w:lang w:val="sr-Cyrl-BA" w:eastAsia="en-US"/>
        </w:rPr>
        <w:t xml:space="preserve"> Правилником о улагању средстава. </w:t>
      </w:r>
    </w:p>
    <w:p w:rsidR="003E1DF3" w:rsidRDefault="003E1DF3" w:rsidP="007259AE">
      <w:pPr>
        <w:rPr>
          <w:rFonts w:asciiTheme="minorHAnsi" w:eastAsiaTheme="minorHAnsi" w:hAnsiTheme="minorHAnsi"/>
          <w:color w:val="auto"/>
          <w:sz w:val="20"/>
          <w:szCs w:val="20"/>
          <w:lang w:val="sr-Cyrl-BA" w:eastAsia="en-US"/>
        </w:rPr>
      </w:pPr>
    </w:p>
    <w:p w:rsidR="00E37A97" w:rsidRDefault="00E37A97" w:rsidP="007259AE">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Стање улагања у хартије од вриједности на дан 31.12.202</w:t>
      </w:r>
      <w:r w:rsidR="007E076E">
        <w:rPr>
          <w:rFonts w:asciiTheme="minorHAnsi" w:eastAsiaTheme="minorHAnsi" w:hAnsiTheme="minorHAnsi"/>
          <w:color w:val="auto"/>
          <w:sz w:val="20"/>
          <w:szCs w:val="20"/>
          <w:lang w:val="sr-Cyrl-BA" w:eastAsia="en-US"/>
        </w:rPr>
        <w:t>4</w:t>
      </w:r>
      <w:r>
        <w:rPr>
          <w:rFonts w:asciiTheme="minorHAnsi" w:eastAsiaTheme="minorHAnsi" w:hAnsiTheme="minorHAnsi"/>
          <w:color w:val="auto"/>
          <w:sz w:val="20"/>
          <w:szCs w:val="20"/>
          <w:lang w:val="sr-Cyrl-BA" w:eastAsia="en-US"/>
        </w:rPr>
        <w:t>. године износи</w:t>
      </w:r>
      <w:r w:rsidR="00E663D1">
        <w:rPr>
          <w:rFonts w:asciiTheme="minorHAnsi" w:eastAsiaTheme="minorHAnsi" w:hAnsiTheme="minorHAnsi"/>
          <w:color w:val="auto"/>
          <w:sz w:val="20"/>
          <w:szCs w:val="20"/>
          <w:lang w:val="sr-Cyrl-BA" w:eastAsia="en-US"/>
        </w:rPr>
        <w:t xml:space="preserve"> </w:t>
      </w:r>
      <w:r w:rsidR="007E076E">
        <w:rPr>
          <w:rFonts w:asciiTheme="minorHAnsi" w:eastAsiaTheme="minorHAnsi" w:hAnsiTheme="minorHAnsi"/>
          <w:color w:val="auto"/>
          <w:sz w:val="20"/>
          <w:szCs w:val="20"/>
          <w:lang w:val="sr-Cyrl-BA" w:eastAsia="en-US"/>
        </w:rPr>
        <w:t>8.058.536,51</w:t>
      </w:r>
      <w:r w:rsidR="00E663D1">
        <w:rPr>
          <w:rFonts w:asciiTheme="minorHAnsi" w:eastAsiaTheme="minorHAnsi" w:hAnsiTheme="minorHAnsi"/>
          <w:color w:val="auto"/>
          <w:sz w:val="20"/>
          <w:szCs w:val="20"/>
          <w:lang w:val="sr-Cyrl-BA" w:eastAsia="en-US"/>
        </w:rPr>
        <w:t xml:space="preserve"> КМ, а д</w:t>
      </w:r>
      <w:r>
        <w:rPr>
          <w:rFonts w:asciiTheme="minorHAnsi" w:eastAsiaTheme="minorHAnsi" w:hAnsiTheme="minorHAnsi"/>
          <w:color w:val="auto"/>
          <w:sz w:val="20"/>
          <w:szCs w:val="20"/>
          <w:lang w:val="sr-Cyrl-BA" w:eastAsia="en-US"/>
        </w:rPr>
        <w:t>етаљнији преглед ових улагања</w:t>
      </w:r>
      <w:r w:rsidR="00B44D0C">
        <w:rPr>
          <w:rFonts w:asciiTheme="minorHAnsi" w:eastAsiaTheme="minorHAnsi" w:hAnsiTheme="minorHAnsi"/>
          <w:color w:val="auto"/>
          <w:sz w:val="20"/>
          <w:szCs w:val="20"/>
          <w:lang w:val="sr-Cyrl-BA" w:eastAsia="en-US"/>
        </w:rPr>
        <w:t xml:space="preserve"> дају табеле</w:t>
      </w:r>
      <w:r>
        <w:rPr>
          <w:rFonts w:asciiTheme="minorHAnsi" w:eastAsiaTheme="minorHAnsi" w:hAnsiTheme="minorHAnsi"/>
          <w:color w:val="auto"/>
          <w:sz w:val="20"/>
          <w:szCs w:val="20"/>
          <w:lang w:val="sr-Cyrl-BA" w:eastAsia="en-US"/>
        </w:rPr>
        <w:t xml:space="preserve"> у наставку.</w:t>
      </w:r>
    </w:p>
    <w:p w:rsidR="00D57537" w:rsidRDefault="00D57537" w:rsidP="007259AE">
      <w:pPr>
        <w:rPr>
          <w:rFonts w:asciiTheme="minorHAnsi" w:eastAsiaTheme="minorHAnsi" w:hAnsiTheme="minorHAnsi"/>
          <w:color w:val="auto"/>
          <w:sz w:val="20"/>
          <w:szCs w:val="20"/>
          <w:lang w:val="sr-Cyrl-BA" w:eastAsia="en-US"/>
        </w:rPr>
      </w:pPr>
    </w:p>
    <w:p w:rsidR="00B44D0C" w:rsidRPr="00B44D0C" w:rsidRDefault="00B44D0C" w:rsidP="00B44D0C">
      <w:pPr>
        <w:rPr>
          <w:rFonts w:asciiTheme="minorHAnsi" w:eastAsiaTheme="minorHAnsi" w:hAnsiTheme="minorHAnsi"/>
          <w:color w:val="auto"/>
          <w:sz w:val="20"/>
          <w:szCs w:val="20"/>
          <w:lang w:val="sr-Cyrl-BA" w:eastAsia="en-US"/>
        </w:rPr>
      </w:pPr>
    </w:p>
    <w:p w:rsidR="001538EF" w:rsidRDefault="001538EF" w:rsidP="001538EF">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Преглед стања хартија од вриједности на дан 31.12.202</w:t>
      </w:r>
      <w:r w:rsidR="00195FB5">
        <w:rPr>
          <w:rFonts w:asciiTheme="minorHAnsi" w:hAnsiTheme="minorHAnsi"/>
          <w:b/>
          <w:sz w:val="20"/>
          <w:szCs w:val="20"/>
          <w:lang w:val="sr-Cyrl-CS" w:eastAsia="sr-Cyrl-CS"/>
        </w:rPr>
        <w:t>4</w:t>
      </w:r>
      <w:r w:rsidRPr="005767EF">
        <w:rPr>
          <w:rFonts w:asciiTheme="minorHAnsi" w:hAnsiTheme="minorHAnsi"/>
          <w:b/>
          <w:sz w:val="20"/>
          <w:szCs w:val="20"/>
          <w:lang w:val="sr-Cyrl-CS" w:eastAsia="sr-Cyrl-CS"/>
        </w:rPr>
        <w:t>. године</w:t>
      </w:r>
      <w:r w:rsidR="00B44D0C">
        <w:rPr>
          <w:rFonts w:asciiTheme="minorHAnsi" w:hAnsiTheme="minorHAnsi"/>
          <w:b/>
          <w:sz w:val="20"/>
          <w:szCs w:val="20"/>
          <w:lang w:val="sr-Cyrl-CS" w:eastAsia="sr-Cyrl-CS"/>
        </w:rPr>
        <w:t xml:space="preserve"> по емитентима</w:t>
      </w:r>
    </w:p>
    <w:p w:rsidR="003E21A9" w:rsidRPr="005767EF" w:rsidRDefault="003E21A9" w:rsidP="001538EF">
      <w:pPr>
        <w:jc w:val="center"/>
        <w:rPr>
          <w:rFonts w:asciiTheme="minorHAnsi" w:hAnsiTheme="minorHAnsi"/>
          <w:b/>
          <w:sz w:val="20"/>
          <w:szCs w:val="20"/>
          <w:lang w:val="sr-Cyrl-CS" w:eastAsia="sr-Cyrl-CS"/>
        </w:rPr>
      </w:pPr>
    </w:p>
    <w:p w:rsidR="007E076E" w:rsidRPr="004916E6" w:rsidRDefault="008C6F9F" w:rsidP="004916E6">
      <w:pPr>
        <w:jc w:val="right"/>
        <w:rPr>
          <w:rFonts w:asciiTheme="minorHAnsi" w:eastAsia="Calibri" w:hAnsiTheme="minorHAnsi"/>
          <w:b/>
          <w:color w:val="auto"/>
          <w:sz w:val="20"/>
          <w:szCs w:val="20"/>
          <w:lang w:val="sr-Cyrl-BA" w:eastAsia="en-US"/>
        </w:rPr>
      </w:pPr>
      <w:r>
        <w:rPr>
          <w:rFonts w:asciiTheme="minorHAnsi" w:eastAsia="Calibri" w:hAnsiTheme="minorHAnsi"/>
          <w:b/>
          <w:color w:val="auto"/>
          <w:sz w:val="20"/>
          <w:szCs w:val="20"/>
          <w:lang w:val="sr-Cyrl-BA" w:eastAsia="en-US"/>
        </w:rPr>
        <w:t>Табела 2</w:t>
      </w:r>
      <w:r w:rsidR="0034546F">
        <w:rPr>
          <w:rFonts w:asciiTheme="minorHAnsi" w:eastAsia="Calibri" w:hAnsiTheme="minorHAnsi"/>
          <w:b/>
          <w:color w:val="auto"/>
          <w:sz w:val="20"/>
          <w:szCs w:val="20"/>
          <w:lang w:val="sr-Cyrl-BA" w:eastAsia="en-US"/>
        </w:rPr>
        <w:t>3</w:t>
      </w:r>
    </w:p>
    <w:tbl>
      <w:tblPr>
        <w:tblW w:w="8804" w:type="dxa"/>
        <w:tblInd w:w="93" w:type="dxa"/>
        <w:tblLook w:val="04A0" w:firstRow="1" w:lastRow="0" w:firstColumn="1" w:lastColumn="0" w:noHBand="0" w:noVBand="1"/>
      </w:tblPr>
      <w:tblGrid>
        <w:gridCol w:w="2850"/>
        <w:gridCol w:w="1701"/>
        <w:gridCol w:w="1701"/>
        <w:gridCol w:w="1134"/>
        <w:gridCol w:w="1418"/>
      </w:tblGrid>
      <w:tr w:rsidR="004916E6" w:rsidRPr="004916E6" w:rsidTr="004916E6">
        <w:trPr>
          <w:trHeight w:val="765"/>
        </w:trPr>
        <w:tc>
          <w:tcPr>
            <w:tcW w:w="2850"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4916E6" w:rsidRPr="004916E6" w:rsidRDefault="004916E6" w:rsidP="004916E6">
            <w:pPr>
              <w:jc w:val="center"/>
              <w:rPr>
                <w:rFonts w:ascii="Calibri" w:hAnsi="Calibri"/>
                <w:b/>
                <w:bCs/>
                <w:sz w:val="20"/>
                <w:szCs w:val="20"/>
              </w:rPr>
            </w:pPr>
            <w:r w:rsidRPr="004916E6">
              <w:rPr>
                <w:rFonts w:ascii="Calibri" w:hAnsi="Calibri"/>
                <w:b/>
                <w:bCs/>
                <w:sz w:val="20"/>
                <w:szCs w:val="20"/>
                <w:lang w:val="sr-Cyrl-BA"/>
              </w:rPr>
              <w:t>Емитент хартије од вриједности</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4916E6" w:rsidRPr="004916E6" w:rsidRDefault="004916E6" w:rsidP="004916E6">
            <w:pPr>
              <w:jc w:val="center"/>
              <w:rPr>
                <w:rFonts w:ascii="Calibri" w:hAnsi="Calibri"/>
                <w:b/>
                <w:bCs/>
                <w:sz w:val="20"/>
                <w:szCs w:val="20"/>
              </w:rPr>
            </w:pPr>
            <w:r w:rsidRPr="004916E6">
              <w:rPr>
                <w:rFonts w:ascii="Calibri" w:hAnsi="Calibri"/>
                <w:b/>
                <w:bCs/>
                <w:sz w:val="20"/>
                <w:szCs w:val="20"/>
              </w:rPr>
              <w:t xml:space="preserve">Стање на дан 31.12.2023. </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4916E6" w:rsidRPr="004916E6" w:rsidRDefault="004916E6" w:rsidP="004916E6">
            <w:pPr>
              <w:jc w:val="center"/>
              <w:rPr>
                <w:rFonts w:ascii="Calibri" w:hAnsi="Calibri"/>
                <w:b/>
                <w:bCs/>
                <w:sz w:val="20"/>
                <w:szCs w:val="20"/>
              </w:rPr>
            </w:pPr>
            <w:r w:rsidRPr="004916E6">
              <w:rPr>
                <w:rFonts w:ascii="Calibri" w:hAnsi="Calibri"/>
                <w:b/>
                <w:bCs/>
                <w:sz w:val="20"/>
                <w:szCs w:val="20"/>
              </w:rPr>
              <w:t xml:space="preserve">Стање на дан 31.12.2024. </w:t>
            </w:r>
          </w:p>
        </w:tc>
        <w:tc>
          <w:tcPr>
            <w:tcW w:w="1134" w:type="dxa"/>
            <w:tcBorders>
              <w:top w:val="single" w:sz="4" w:space="0" w:color="auto"/>
              <w:left w:val="nil"/>
              <w:bottom w:val="single" w:sz="4" w:space="0" w:color="auto"/>
              <w:right w:val="single" w:sz="4" w:space="0" w:color="auto"/>
            </w:tcBorders>
            <w:shd w:val="clear" w:color="000000" w:fill="8DB4E2"/>
            <w:noWrap/>
            <w:vAlign w:val="center"/>
            <w:hideMark/>
          </w:tcPr>
          <w:p w:rsidR="004916E6" w:rsidRPr="004916E6" w:rsidRDefault="004916E6" w:rsidP="004916E6">
            <w:pPr>
              <w:jc w:val="center"/>
              <w:rPr>
                <w:rFonts w:ascii="Calibri" w:hAnsi="Calibri"/>
                <w:b/>
                <w:bCs/>
                <w:sz w:val="20"/>
                <w:szCs w:val="20"/>
              </w:rPr>
            </w:pPr>
            <w:r w:rsidRPr="004916E6">
              <w:rPr>
                <w:rFonts w:ascii="Calibri" w:hAnsi="Calibri"/>
                <w:b/>
                <w:bCs/>
                <w:sz w:val="20"/>
                <w:szCs w:val="20"/>
              </w:rPr>
              <w:t>Индекс</w:t>
            </w:r>
          </w:p>
        </w:tc>
        <w:tc>
          <w:tcPr>
            <w:tcW w:w="1418" w:type="dxa"/>
            <w:tcBorders>
              <w:top w:val="single" w:sz="4" w:space="0" w:color="auto"/>
              <w:left w:val="nil"/>
              <w:bottom w:val="single" w:sz="4" w:space="0" w:color="auto"/>
              <w:right w:val="single" w:sz="4" w:space="0" w:color="auto"/>
            </w:tcBorders>
            <w:shd w:val="clear" w:color="000000" w:fill="8DB4E2"/>
            <w:noWrap/>
            <w:vAlign w:val="center"/>
            <w:hideMark/>
          </w:tcPr>
          <w:p w:rsidR="004916E6" w:rsidRPr="004916E6" w:rsidRDefault="004916E6" w:rsidP="004916E6">
            <w:pPr>
              <w:jc w:val="center"/>
              <w:rPr>
                <w:rFonts w:ascii="Calibri" w:hAnsi="Calibri"/>
                <w:b/>
                <w:bCs/>
                <w:sz w:val="20"/>
                <w:szCs w:val="20"/>
              </w:rPr>
            </w:pPr>
            <w:r w:rsidRPr="004916E6">
              <w:rPr>
                <w:rFonts w:ascii="Calibri" w:hAnsi="Calibri"/>
                <w:b/>
                <w:bCs/>
                <w:sz w:val="20"/>
                <w:szCs w:val="20"/>
              </w:rPr>
              <w:t>Структура</w:t>
            </w:r>
          </w:p>
        </w:tc>
      </w:tr>
      <w:tr w:rsidR="004916E6" w:rsidRPr="004916E6" w:rsidTr="004916E6">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4916E6" w:rsidRPr="004916E6" w:rsidRDefault="004916E6" w:rsidP="004916E6">
            <w:pPr>
              <w:jc w:val="left"/>
              <w:rPr>
                <w:rFonts w:ascii="Calibri" w:hAnsi="Calibri"/>
                <w:sz w:val="20"/>
                <w:szCs w:val="20"/>
              </w:rPr>
            </w:pPr>
            <w:r w:rsidRPr="004916E6">
              <w:rPr>
                <w:rFonts w:ascii="Calibri" w:hAnsi="Calibri"/>
                <w:sz w:val="20"/>
                <w:szCs w:val="20"/>
                <w:lang w:val="sr-Cyrl-BA"/>
              </w:rPr>
              <w:t>Република Српска</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color w:val="auto"/>
                <w:sz w:val="20"/>
                <w:szCs w:val="20"/>
              </w:rPr>
            </w:pPr>
            <w:r w:rsidRPr="004916E6">
              <w:rPr>
                <w:rFonts w:ascii="Calibri" w:hAnsi="Calibri"/>
                <w:color w:val="auto"/>
                <w:sz w:val="20"/>
                <w:szCs w:val="20"/>
              </w:rPr>
              <w:t>7.719.400,00</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3.909.860,00</w:t>
            </w:r>
          </w:p>
        </w:tc>
        <w:tc>
          <w:tcPr>
            <w:tcW w:w="1134"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50,65</w:t>
            </w:r>
          </w:p>
        </w:tc>
        <w:tc>
          <w:tcPr>
            <w:tcW w:w="1418" w:type="dxa"/>
            <w:tcBorders>
              <w:top w:val="nil"/>
              <w:left w:val="nil"/>
              <w:bottom w:val="single" w:sz="4" w:space="0" w:color="auto"/>
              <w:right w:val="single" w:sz="4" w:space="0" w:color="auto"/>
            </w:tcBorders>
            <w:shd w:val="clear" w:color="auto" w:fill="auto"/>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48,52%</w:t>
            </w:r>
          </w:p>
        </w:tc>
      </w:tr>
      <w:tr w:rsidR="004916E6" w:rsidRPr="004916E6" w:rsidTr="004916E6">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4916E6" w:rsidRPr="004916E6" w:rsidRDefault="004916E6" w:rsidP="004916E6">
            <w:pPr>
              <w:jc w:val="left"/>
              <w:rPr>
                <w:rFonts w:ascii="Calibri" w:hAnsi="Calibri"/>
                <w:sz w:val="20"/>
                <w:szCs w:val="20"/>
              </w:rPr>
            </w:pPr>
            <w:r w:rsidRPr="004916E6">
              <w:rPr>
                <w:rFonts w:ascii="Calibri" w:hAnsi="Calibri"/>
                <w:sz w:val="20"/>
                <w:szCs w:val="20"/>
                <w:lang w:val="sr-Cyrl-BA"/>
              </w:rPr>
              <w:t>Локалне заједнице</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color w:val="auto"/>
                <w:sz w:val="20"/>
                <w:szCs w:val="20"/>
              </w:rPr>
            </w:pPr>
            <w:r w:rsidRPr="004916E6">
              <w:rPr>
                <w:rFonts w:ascii="Calibri" w:hAnsi="Calibri"/>
                <w:color w:val="auto"/>
                <w:sz w:val="20"/>
                <w:szCs w:val="20"/>
              </w:rPr>
              <w:t>1.692.542,96</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1.494.122,24</w:t>
            </w:r>
          </w:p>
        </w:tc>
        <w:tc>
          <w:tcPr>
            <w:tcW w:w="1134"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88,28</w:t>
            </w:r>
          </w:p>
        </w:tc>
        <w:tc>
          <w:tcPr>
            <w:tcW w:w="1418" w:type="dxa"/>
            <w:tcBorders>
              <w:top w:val="nil"/>
              <w:left w:val="nil"/>
              <w:bottom w:val="single" w:sz="4" w:space="0" w:color="auto"/>
              <w:right w:val="single" w:sz="4" w:space="0" w:color="auto"/>
            </w:tcBorders>
            <w:shd w:val="clear" w:color="auto" w:fill="auto"/>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18,54%</w:t>
            </w:r>
          </w:p>
        </w:tc>
      </w:tr>
      <w:tr w:rsidR="004916E6" w:rsidRPr="004916E6" w:rsidTr="004916E6">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4916E6" w:rsidRPr="004916E6" w:rsidRDefault="004916E6" w:rsidP="004916E6">
            <w:pPr>
              <w:jc w:val="left"/>
              <w:rPr>
                <w:rFonts w:ascii="Calibri" w:hAnsi="Calibri"/>
                <w:sz w:val="20"/>
                <w:szCs w:val="20"/>
              </w:rPr>
            </w:pPr>
            <w:r w:rsidRPr="004916E6">
              <w:rPr>
                <w:rFonts w:ascii="Calibri" w:hAnsi="Calibri"/>
                <w:sz w:val="20"/>
                <w:szCs w:val="20"/>
                <w:lang w:val="sr-Cyrl-BA"/>
              </w:rPr>
              <w:t>Финансијске институције</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color w:val="auto"/>
                <w:sz w:val="20"/>
                <w:szCs w:val="20"/>
              </w:rPr>
            </w:pPr>
            <w:r w:rsidRPr="004916E6">
              <w:rPr>
                <w:rFonts w:ascii="Calibri" w:hAnsi="Calibri"/>
                <w:color w:val="auto"/>
                <w:sz w:val="20"/>
                <w:szCs w:val="20"/>
              </w:rPr>
              <w:t>1.770.202,27</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color w:val="auto"/>
                <w:sz w:val="20"/>
                <w:szCs w:val="20"/>
              </w:rPr>
            </w:pPr>
            <w:r w:rsidRPr="004916E6">
              <w:rPr>
                <w:rFonts w:ascii="Calibri" w:hAnsi="Calibri"/>
                <w:color w:val="auto"/>
                <w:sz w:val="20"/>
                <w:szCs w:val="20"/>
              </w:rPr>
              <w:t>2.362.820,36</w:t>
            </w:r>
          </w:p>
        </w:tc>
        <w:tc>
          <w:tcPr>
            <w:tcW w:w="1134"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133,48</w:t>
            </w:r>
          </w:p>
        </w:tc>
        <w:tc>
          <w:tcPr>
            <w:tcW w:w="1418" w:type="dxa"/>
            <w:tcBorders>
              <w:top w:val="nil"/>
              <w:left w:val="nil"/>
              <w:bottom w:val="single" w:sz="4" w:space="0" w:color="auto"/>
              <w:right w:val="single" w:sz="4" w:space="0" w:color="auto"/>
            </w:tcBorders>
            <w:shd w:val="clear" w:color="auto" w:fill="auto"/>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29,32%</w:t>
            </w:r>
          </w:p>
        </w:tc>
      </w:tr>
      <w:tr w:rsidR="004916E6" w:rsidRPr="004916E6" w:rsidTr="004916E6">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4916E6" w:rsidRPr="004916E6" w:rsidRDefault="004916E6" w:rsidP="004916E6">
            <w:pPr>
              <w:jc w:val="left"/>
              <w:rPr>
                <w:rFonts w:ascii="Calibri" w:hAnsi="Calibri"/>
                <w:sz w:val="20"/>
                <w:szCs w:val="20"/>
              </w:rPr>
            </w:pPr>
            <w:r w:rsidRPr="004916E6">
              <w:rPr>
                <w:rFonts w:ascii="Calibri" w:hAnsi="Calibri"/>
                <w:sz w:val="20"/>
                <w:szCs w:val="20"/>
                <w:lang w:val="sr-Cyrl-BA"/>
              </w:rPr>
              <w:t>Привредна друштва</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color w:val="auto"/>
                <w:sz w:val="20"/>
                <w:szCs w:val="20"/>
              </w:rPr>
            </w:pPr>
            <w:r w:rsidRPr="004916E6">
              <w:rPr>
                <w:rFonts w:ascii="Calibri" w:hAnsi="Calibri"/>
                <w:color w:val="auto"/>
                <w:sz w:val="20"/>
                <w:szCs w:val="20"/>
              </w:rPr>
              <w:t>329.951,11</w:t>
            </w:r>
          </w:p>
        </w:tc>
        <w:tc>
          <w:tcPr>
            <w:tcW w:w="1701"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color w:val="auto"/>
                <w:sz w:val="20"/>
                <w:szCs w:val="20"/>
              </w:rPr>
            </w:pPr>
            <w:r w:rsidRPr="004916E6">
              <w:rPr>
                <w:rFonts w:ascii="Calibri" w:hAnsi="Calibri"/>
                <w:color w:val="auto"/>
                <w:sz w:val="20"/>
                <w:szCs w:val="20"/>
              </w:rPr>
              <w:t>291.733,91</w:t>
            </w:r>
          </w:p>
        </w:tc>
        <w:tc>
          <w:tcPr>
            <w:tcW w:w="1134" w:type="dxa"/>
            <w:tcBorders>
              <w:top w:val="nil"/>
              <w:left w:val="nil"/>
              <w:bottom w:val="single" w:sz="4" w:space="0" w:color="auto"/>
              <w:right w:val="single" w:sz="4" w:space="0" w:color="auto"/>
            </w:tcBorders>
            <w:shd w:val="clear" w:color="auto" w:fill="auto"/>
            <w:noWrap/>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88,42</w:t>
            </w:r>
          </w:p>
        </w:tc>
        <w:tc>
          <w:tcPr>
            <w:tcW w:w="1418" w:type="dxa"/>
            <w:tcBorders>
              <w:top w:val="nil"/>
              <w:left w:val="nil"/>
              <w:bottom w:val="single" w:sz="4" w:space="0" w:color="auto"/>
              <w:right w:val="single" w:sz="4" w:space="0" w:color="auto"/>
            </w:tcBorders>
            <w:shd w:val="clear" w:color="auto" w:fill="auto"/>
            <w:vAlign w:val="center"/>
            <w:hideMark/>
          </w:tcPr>
          <w:p w:rsidR="004916E6" w:rsidRPr="004916E6" w:rsidRDefault="004916E6" w:rsidP="004916E6">
            <w:pPr>
              <w:jc w:val="right"/>
              <w:rPr>
                <w:rFonts w:ascii="Calibri" w:hAnsi="Calibri"/>
                <w:sz w:val="20"/>
                <w:szCs w:val="20"/>
              </w:rPr>
            </w:pPr>
            <w:r w:rsidRPr="004916E6">
              <w:rPr>
                <w:rFonts w:ascii="Calibri" w:hAnsi="Calibri"/>
                <w:sz w:val="20"/>
                <w:szCs w:val="20"/>
              </w:rPr>
              <w:t>3,62%</w:t>
            </w:r>
          </w:p>
        </w:tc>
      </w:tr>
      <w:tr w:rsidR="004916E6" w:rsidRPr="004916E6" w:rsidTr="004916E6">
        <w:trPr>
          <w:trHeight w:val="315"/>
        </w:trPr>
        <w:tc>
          <w:tcPr>
            <w:tcW w:w="2850" w:type="dxa"/>
            <w:tcBorders>
              <w:top w:val="nil"/>
              <w:left w:val="single" w:sz="4" w:space="0" w:color="auto"/>
              <w:bottom w:val="single" w:sz="4" w:space="0" w:color="auto"/>
              <w:right w:val="single" w:sz="4" w:space="0" w:color="auto"/>
            </w:tcBorders>
            <w:shd w:val="clear" w:color="000000" w:fill="8DB3E2"/>
            <w:vAlign w:val="center"/>
            <w:hideMark/>
          </w:tcPr>
          <w:p w:rsidR="004916E6" w:rsidRPr="004916E6" w:rsidRDefault="004916E6" w:rsidP="004916E6">
            <w:pPr>
              <w:jc w:val="left"/>
              <w:rPr>
                <w:rFonts w:ascii="Calibri" w:hAnsi="Calibri"/>
                <w:b/>
                <w:bCs/>
                <w:sz w:val="20"/>
                <w:szCs w:val="20"/>
              </w:rPr>
            </w:pPr>
            <w:r w:rsidRPr="004916E6">
              <w:rPr>
                <w:rFonts w:ascii="Calibri" w:hAnsi="Calibri"/>
                <w:b/>
                <w:bCs/>
                <w:sz w:val="20"/>
                <w:szCs w:val="20"/>
                <w:lang w:val="sr-Cyrl-BA"/>
              </w:rPr>
              <w:t xml:space="preserve">УКУПНО </w:t>
            </w:r>
          </w:p>
        </w:tc>
        <w:tc>
          <w:tcPr>
            <w:tcW w:w="1701" w:type="dxa"/>
            <w:tcBorders>
              <w:top w:val="nil"/>
              <w:left w:val="nil"/>
              <w:bottom w:val="single" w:sz="4" w:space="0" w:color="auto"/>
              <w:right w:val="single" w:sz="4" w:space="0" w:color="auto"/>
            </w:tcBorders>
            <w:shd w:val="clear" w:color="000000" w:fill="8DB3E2"/>
            <w:noWrap/>
            <w:vAlign w:val="center"/>
            <w:hideMark/>
          </w:tcPr>
          <w:p w:rsidR="004916E6" w:rsidRPr="004916E6" w:rsidRDefault="004916E6" w:rsidP="004916E6">
            <w:pPr>
              <w:jc w:val="right"/>
              <w:rPr>
                <w:rFonts w:ascii="Calibri" w:hAnsi="Calibri"/>
                <w:b/>
                <w:bCs/>
                <w:sz w:val="20"/>
                <w:szCs w:val="20"/>
              </w:rPr>
            </w:pPr>
            <w:r w:rsidRPr="004916E6">
              <w:rPr>
                <w:rFonts w:ascii="Calibri" w:hAnsi="Calibri"/>
                <w:b/>
                <w:bCs/>
                <w:sz w:val="20"/>
                <w:szCs w:val="20"/>
              </w:rPr>
              <w:t>11.512.096,34</w:t>
            </w:r>
          </w:p>
        </w:tc>
        <w:tc>
          <w:tcPr>
            <w:tcW w:w="1701" w:type="dxa"/>
            <w:tcBorders>
              <w:top w:val="nil"/>
              <w:left w:val="nil"/>
              <w:bottom w:val="single" w:sz="4" w:space="0" w:color="auto"/>
              <w:right w:val="single" w:sz="4" w:space="0" w:color="auto"/>
            </w:tcBorders>
            <w:shd w:val="clear" w:color="000000" w:fill="8DB3E2"/>
            <w:noWrap/>
            <w:vAlign w:val="center"/>
            <w:hideMark/>
          </w:tcPr>
          <w:p w:rsidR="004916E6" w:rsidRPr="004916E6" w:rsidRDefault="004916E6" w:rsidP="004916E6">
            <w:pPr>
              <w:jc w:val="right"/>
              <w:rPr>
                <w:rFonts w:ascii="Calibri" w:hAnsi="Calibri"/>
                <w:b/>
                <w:bCs/>
                <w:sz w:val="20"/>
                <w:szCs w:val="20"/>
              </w:rPr>
            </w:pPr>
            <w:r w:rsidRPr="004916E6">
              <w:rPr>
                <w:rFonts w:ascii="Calibri" w:hAnsi="Calibri"/>
                <w:b/>
                <w:bCs/>
                <w:sz w:val="20"/>
                <w:szCs w:val="20"/>
              </w:rPr>
              <w:t>8.058.536,51</w:t>
            </w:r>
          </w:p>
        </w:tc>
        <w:tc>
          <w:tcPr>
            <w:tcW w:w="1134" w:type="dxa"/>
            <w:tcBorders>
              <w:top w:val="nil"/>
              <w:left w:val="nil"/>
              <w:bottom w:val="single" w:sz="4" w:space="0" w:color="auto"/>
              <w:right w:val="single" w:sz="4" w:space="0" w:color="auto"/>
            </w:tcBorders>
            <w:shd w:val="clear" w:color="000000" w:fill="8DB4E2"/>
            <w:noWrap/>
            <w:vAlign w:val="center"/>
            <w:hideMark/>
          </w:tcPr>
          <w:p w:rsidR="004916E6" w:rsidRPr="004916E6" w:rsidRDefault="004916E6" w:rsidP="004916E6">
            <w:pPr>
              <w:jc w:val="right"/>
              <w:rPr>
                <w:rFonts w:ascii="Calibri" w:hAnsi="Calibri"/>
                <w:b/>
                <w:bCs/>
                <w:sz w:val="20"/>
                <w:szCs w:val="20"/>
              </w:rPr>
            </w:pPr>
            <w:r w:rsidRPr="004916E6">
              <w:rPr>
                <w:rFonts w:ascii="Calibri" w:hAnsi="Calibri"/>
                <w:b/>
                <w:bCs/>
                <w:sz w:val="20"/>
                <w:szCs w:val="20"/>
              </w:rPr>
              <w:t>70,00</w:t>
            </w:r>
          </w:p>
        </w:tc>
        <w:tc>
          <w:tcPr>
            <w:tcW w:w="1418" w:type="dxa"/>
            <w:tcBorders>
              <w:top w:val="nil"/>
              <w:left w:val="nil"/>
              <w:bottom w:val="single" w:sz="4" w:space="0" w:color="auto"/>
              <w:right w:val="single" w:sz="4" w:space="0" w:color="auto"/>
            </w:tcBorders>
            <w:shd w:val="clear" w:color="000000" w:fill="8DB3E2"/>
            <w:noWrap/>
            <w:vAlign w:val="center"/>
            <w:hideMark/>
          </w:tcPr>
          <w:p w:rsidR="004916E6" w:rsidRPr="004916E6" w:rsidRDefault="004916E6" w:rsidP="004916E6">
            <w:pPr>
              <w:jc w:val="right"/>
              <w:rPr>
                <w:rFonts w:ascii="Calibri" w:hAnsi="Calibri"/>
                <w:b/>
                <w:bCs/>
                <w:sz w:val="20"/>
                <w:szCs w:val="20"/>
              </w:rPr>
            </w:pPr>
            <w:r w:rsidRPr="004916E6">
              <w:rPr>
                <w:rFonts w:ascii="Calibri" w:hAnsi="Calibri"/>
                <w:b/>
                <w:bCs/>
                <w:sz w:val="20"/>
                <w:szCs w:val="20"/>
              </w:rPr>
              <w:t>100,00%</w:t>
            </w:r>
          </w:p>
        </w:tc>
      </w:tr>
    </w:tbl>
    <w:p w:rsidR="001538EF" w:rsidRPr="00B44D0C" w:rsidRDefault="001538EF" w:rsidP="001538EF">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sr-Cyrl-BA" w:eastAsia="en-US"/>
        </w:rPr>
        <w:t xml:space="preserve">       </w:t>
      </w:r>
      <w:r w:rsidR="00B44D0C">
        <w:rPr>
          <w:rFonts w:asciiTheme="minorHAnsi" w:eastAsia="Calibri" w:hAnsiTheme="minorHAnsi"/>
          <w:color w:val="auto"/>
          <w:sz w:val="20"/>
          <w:szCs w:val="20"/>
          <w:lang w:val="sr-Cyrl-BA" w:eastAsia="en-US"/>
        </w:rPr>
        <w:t xml:space="preserve">         </w:t>
      </w:r>
      <w:r w:rsidRPr="005767EF">
        <w:rPr>
          <w:rFonts w:asciiTheme="minorHAnsi" w:eastAsia="Calibri" w:hAnsiTheme="minorHAnsi"/>
          <w:color w:val="auto"/>
          <w:sz w:val="20"/>
          <w:szCs w:val="20"/>
          <w:lang w:val="sr-Cyrl-BA" w:eastAsia="en-US"/>
        </w:rPr>
        <w:t xml:space="preserve"> </w:t>
      </w:r>
    </w:p>
    <w:p w:rsidR="001538EF" w:rsidRDefault="008C6F9F" w:rsidP="001538EF">
      <w:pPr>
        <w:rPr>
          <w:rFonts w:asciiTheme="minorHAnsi" w:hAnsiTheme="minorHAnsi"/>
          <w:sz w:val="20"/>
          <w:szCs w:val="20"/>
          <w:lang w:val="sr-Cyrl-CS" w:eastAsia="sr-Cyrl-CS"/>
        </w:rPr>
      </w:pPr>
      <w:r w:rsidRPr="008C6F9F">
        <w:rPr>
          <w:rFonts w:asciiTheme="minorHAnsi" w:hAnsiTheme="minorHAnsi"/>
          <w:sz w:val="20"/>
          <w:szCs w:val="20"/>
          <w:lang w:val="sr-Cyrl-CS" w:eastAsia="sr-Cyrl-CS"/>
        </w:rPr>
        <w:t xml:space="preserve">Доминантно учешће од </w:t>
      </w:r>
      <w:r w:rsidR="004916E6">
        <w:rPr>
          <w:rFonts w:asciiTheme="minorHAnsi" w:hAnsiTheme="minorHAnsi"/>
          <w:sz w:val="20"/>
          <w:szCs w:val="20"/>
          <w:lang w:val="sr-Cyrl-CS" w:eastAsia="sr-Cyrl-CS"/>
        </w:rPr>
        <w:t>48,52</w:t>
      </w:r>
      <w:r w:rsidRPr="008C6F9F">
        <w:rPr>
          <w:rFonts w:asciiTheme="minorHAnsi" w:hAnsiTheme="minorHAnsi"/>
          <w:sz w:val="20"/>
          <w:szCs w:val="20"/>
          <w:lang w:val="sr-Cyrl-CS" w:eastAsia="sr-Cyrl-CS"/>
        </w:rPr>
        <w:t>% имају улагања у дужничке хартије од вриједности Републике Српске,</w:t>
      </w:r>
      <w:r w:rsidR="00823B1A">
        <w:rPr>
          <w:rFonts w:asciiTheme="minorHAnsi" w:hAnsiTheme="minorHAnsi"/>
          <w:sz w:val="20"/>
          <w:szCs w:val="20"/>
          <w:lang w:val="sr-Cyrl-CS" w:eastAsia="sr-Cyrl-CS"/>
        </w:rPr>
        <w:t xml:space="preserve"> чије стање на дан 31.12.202</w:t>
      </w:r>
      <w:r w:rsidR="004916E6">
        <w:rPr>
          <w:rFonts w:asciiTheme="minorHAnsi" w:hAnsiTheme="minorHAnsi"/>
          <w:sz w:val="20"/>
          <w:szCs w:val="20"/>
          <w:lang w:val="sr-Cyrl-CS" w:eastAsia="sr-Cyrl-CS"/>
        </w:rPr>
        <w:t>4</w:t>
      </w:r>
      <w:r w:rsidR="00823B1A">
        <w:rPr>
          <w:rFonts w:asciiTheme="minorHAnsi" w:hAnsiTheme="minorHAnsi"/>
          <w:sz w:val="20"/>
          <w:szCs w:val="20"/>
          <w:lang w:val="sr-Cyrl-CS" w:eastAsia="sr-Cyrl-CS"/>
        </w:rPr>
        <w:t xml:space="preserve">. године износи </w:t>
      </w:r>
      <w:r w:rsidR="004916E6">
        <w:rPr>
          <w:rFonts w:asciiTheme="minorHAnsi" w:hAnsiTheme="minorHAnsi"/>
          <w:sz w:val="20"/>
          <w:szCs w:val="20"/>
          <w:lang w:val="sr-Cyrl-CS" w:eastAsia="sr-Cyrl-CS"/>
        </w:rPr>
        <w:t>3.909.860,00</w:t>
      </w:r>
      <w:r w:rsidR="00823B1A">
        <w:rPr>
          <w:rFonts w:asciiTheme="minorHAnsi" w:hAnsiTheme="minorHAnsi"/>
          <w:sz w:val="20"/>
          <w:szCs w:val="20"/>
          <w:lang w:val="sr-Cyrl-CS" w:eastAsia="sr-Cyrl-CS"/>
        </w:rPr>
        <w:t xml:space="preserve"> КМ. Н</w:t>
      </w:r>
      <w:r w:rsidRPr="008C6F9F">
        <w:rPr>
          <w:rFonts w:asciiTheme="minorHAnsi" w:hAnsiTheme="minorHAnsi"/>
          <w:sz w:val="20"/>
          <w:szCs w:val="20"/>
          <w:lang w:val="sr-Cyrl-CS" w:eastAsia="sr-Cyrl-CS"/>
        </w:rPr>
        <w:t xml:space="preserve">а другом </w:t>
      </w:r>
      <w:r w:rsidR="004916E6">
        <w:rPr>
          <w:rFonts w:asciiTheme="minorHAnsi" w:hAnsiTheme="minorHAnsi"/>
          <w:sz w:val="20"/>
          <w:szCs w:val="20"/>
          <w:lang w:val="sr-Cyrl-CS" w:eastAsia="sr-Cyrl-CS"/>
        </w:rPr>
        <w:t xml:space="preserve">мјесту се </w:t>
      </w:r>
      <w:r w:rsidRPr="008C6F9F">
        <w:rPr>
          <w:rFonts w:asciiTheme="minorHAnsi" w:hAnsiTheme="minorHAnsi"/>
          <w:sz w:val="20"/>
          <w:szCs w:val="20"/>
          <w:lang w:val="sr-Cyrl-CS" w:eastAsia="sr-Cyrl-CS"/>
        </w:rPr>
        <w:t xml:space="preserve">налазе </w:t>
      </w:r>
      <w:r w:rsidR="004916E6">
        <w:rPr>
          <w:rFonts w:asciiTheme="minorHAnsi" w:hAnsiTheme="minorHAnsi"/>
          <w:sz w:val="20"/>
          <w:szCs w:val="20"/>
          <w:lang w:val="sr-Cyrl-CS" w:eastAsia="sr-Cyrl-CS"/>
        </w:rPr>
        <w:t>улагања у хартије од вриједности финансијских институција у износу од 2.362.820,36 КМ</w:t>
      </w:r>
      <w:r w:rsidR="000C711B">
        <w:rPr>
          <w:rFonts w:asciiTheme="minorHAnsi" w:hAnsiTheme="minorHAnsi"/>
          <w:sz w:val="20"/>
          <w:szCs w:val="20"/>
          <w:lang w:val="sr-Cyrl-CS" w:eastAsia="sr-Cyrl-CS"/>
        </w:rPr>
        <w:t>.</w:t>
      </w:r>
      <w:r w:rsidR="004916E6">
        <w:rPr>
          <w:rFonts w:asciiTheme="minorHAnsi" w:hAnsiTheme="minorHAnsi"/>
          <w:sz w:val="20"/>
          <w:szCs w:val="20"/>
          <w:lang w:val="sr-Cyrl-CS" w:eastAsia="sr-Cyrl-CS"/>
        </w:rPr>
        <w:t xml:space="preserve"> На трећем мјесту се налазе </w:t>
      </w:r>
      <w:r w:rsidR="004916E6" w:rsidRPr="008C6F9F">
        <w:rPr>
          <w:rFonts w:asciiTheme="minorHAnsi" w:hAnsiTheme="minorHAnsi"/>
          <w:sz w:val="20"/>
          <w:szCs w:val="20"/>
          <w:lang w:val="sr-Cyrl-CS" w:eastAsia="sr-Cyrl-CS"/>
        </w:rPr>
        <w:t>улагања у дужничке хартије од вриједности чиј</w:t>
      </w:r>
      <w:r w:rsidR="004916E6">
        <w:rPr>
          <w:rFonts w:asciiTheme="minorHAnsi" w:hAnsiTheme="minorHAnsi"/>
          <w:sz w:val="20"/>
          <w:szCs w:val="20"/>
          <w:lang w:val="sr-Cyrl-CS" w:eastAsia="sr-Cyrl-CS"/>
        </w:rPr>
        <w:t xml:space="preserve">и су емитенти локалне заједнице, а стање ових хартија на дан 31.12.2024. године износи 1.494.122,24 КМ. У овој групи је примјетан </w:t>
      </w:r>
      <w:r w:rsidR="000C711B">
        <w:rPr>
          <w:rFonts w:asciiTheme="minorHAnsi" w:hAnsiTheme="minorHAnsi"/>
          <w:sz w:val="20"/>
          <w:szCs w:val="20"/>
          <w:lang w:val="sr-Cyrl-CS" w:eastAsia="sr-Cyrl-CS"/>
        </w:rPr>
        <w:t xml:space="preserve">значајан </w:t>
      </w:r>
      <w:r w:rsidR="004916E6">
        <w:rPr>
          <w:rFonts w:asciiTheme="minorHAnsi" w:hAnsiTheme="minorHAnsi"/>
          <w:sz w:val="20"/>
          <w:szCs w:val="20"/>
          <w:lang w:val="sr-Cyrl-CS" w:eastAsia="sr-Cyrl-CS"/>
        </w:rPr>
        <w:t>раст улагања у односу на претходну годин</w:t>
      </w:r>
      <w:r w:rsidR="000C711B">
        <w:rPr>
          <w:rFonts w:asciiTheme="minorHAnsi" w:hAnsiTheme="minorHAnsi"/>
          <w:sz w:val="20"/>
          <w:szCs w:val="20"/>
          <w:lang w:val="sr-Cyrl-CS" w:eastAsia="sr-Cyrl-CS"/>
        </w:rPr>
        <w:t>у, с обзиром да су се ове харти</w:t>
      </w:r>
      <w:r w:rsidR="004916E6">
        <w:rPr>
          <w:rFonts w:asciiTheme="minorHAnsi" w:hAnsiTheme="minorHAnsi"/>
          <w:sz w:val="20"/>
          <w:szCs w:val="20"/>
          <w:lang w:val="sr-Cyrl-CS" w:eastAsia="sr-Cyrl-CS"/>
        </w:rPr>
        <w:t xml:space="preserve">је показале као улагање </w:t>
      </w:r>
      <w:r w:rsidR="00125192">
        <w:rPr>
          <w:rFonts w:asciiTheme="minorHAnsi" w:hAnsiTheme="minorHAnsi"/>
          <w:sz w:val="20"/>
          <w:szCs w:val="20"/>
          <w:lang w:val="sr-Cyrl-CS" w:eastAsia="sr-Cyrl-CS"/>
        </w:rPr>
        <w:t xml:space="preserve">са </w:t>
      </w:r>
      <w:r w:rsidR="004916E6">
        <w:rPr>
          <w:rFonts w:asciiTheme="minorHAnsi" w:hAnsiTheme="minorHAnsi"/>
          <w:sz w:val="20"/>
          <w:szCs w:val="20"/>
          <w:lang w:val="sr-Cyrl-CS" w:eastAsia="sr-Cyrl-CS"/>
        </w:rPr>
        <w:t>прихватљив</w:t>
      </w:r>
      <w:r w:rsidR="00125192">
        <w:rPr>
          <w:rFonts w:asciiTheme="minorHAnsi" w:hAnsiTheme="minorHAnsi"/>
          <w:sz w:val="20"/>
          <w:szCs w:val="20"/>
          <w:lang w:val="sr-Cyrl-CS" w:eastAsia="sr-Cyrl-CS"/>
        </w:rPr>
        <w:t>им</w:t>
      </w:r>
      <w:r w:rsidR="004916E6">
        <w:rPr>
          <w:rFonts w:asciiTheme="minorHAnsi" w:hAnsiTheme="minorHAnsi"/>
          <w:sz w:val="20"/>
          <w:szCs w:val="20"/>
          <w:lang w:val="sr-Cyrl-CS" w:eastAsia="sr-Cyrl-CS"/>
        </w:rPr>
        <w:t xml:space="preserve"> </w:t>
      </w:r>
      <w:r w:rsidR="000C711B">
        <w:rPr>
          <w:rFonts w:asciiTheme="minorHAnsi" w:hAnsiTheme="minorHAnsi"/>
          <w:sz w:val="20"/>
          <w:szCs w:val="20"/>
          <w:lang w:val="sr-Cyrl-CS" w:eastAsia="sr-Cyrl-CS"/>
        </w:rPr>
        <w:t>ниво</w:t>
      </w:r>
      <w:r w:rsidR="00125192">
        <w:rPr>
          <w:rFonts w:asciiTheme="minorHAnsi" w:hAnsiTheme="minorHAnsi"/>
          <w:sz w:val="20"/>
          <w:szCs w:val="20"/>
          <w:lang w:val="sr-Cyrl-CS" w:eastAsia="sr-Cyrl-CS"/>
        </w:rPr>
        <w:t>ом</w:t>
      </w:r>
      <w:r w:rsidR="000C711B">
        <w:rPr>
          <w:rFonts w:asciiTheme="minorHAnsi" w:hAnsiTheme="minorHAnsi"/>
          <w:sz w:val="20"/>
          <w:szCs w:val="20"/>
          <w:lang w:val="sr-Cyrl-CS" w:eastAsia="sr-Cyrl-CS"/>
        </w:rPr>
        <w:t xml:space="preserve"> </w:t>
      </w:r>
      <w:r w:rsidR="004916E6">
        <w:rPr>
          <w:rFonts w:asciiTheme="minorHAnsi" w:hAnsiTheme="minorHAnsi"/>
          <w:sz w:val="20"/>
          <w:szCs w:val="20"/>
          <w:lang w:val="sr-Cyrl-CS" w:eastAsia="sr-Cyrl-CS"/>
        </w:rPr>
        <w:t>риз</w:t>
      </w:r>
      <w:r w:rsidR="000C711B">
        <w:rPr>
          <w:rFonts w:asciiTheme="minorHAnsi" w:hAnsiTheme="minorHAnsi"/>
          <w:sz w:val="20"/>
          <w:szCs w:val="20"/>
          <w:lang w:val="sr-Cyrl-CS" w:eastAsia="sr-Cyrl-CS"/>
        </w:rPr>
        <w:t>ика уз стопе приноса које су више</w:t>
      </w:r>
      <w:r w:rsidR="004916E6">
        <w:rPr>
          <w:rFonts w:asciiTheme="minorHAnsi" w:hAnsiTheme="minorHAnsi"/>
          <w:sz w:val="20"/>
          <w:szCs w:val="20"/>
          <w:lang w:val="sr-Cyrl-CS" w:eastAsia="sr-Cyrl-CS"/>
        </w:rPr>
        <w:t xml:space="preserve"> у односу на стопе приноса које нуд</w:t>
      </w:r>
      <w:r w:rsidR="007B1F0E">
        <w:rPr>
          <w:rFonts w:asciiTheme="minorHAnsi" w:hAnsiTheme="minorHAnsi"/>
          <w:sz w:val="20"/>
          <w:szCs w:val="20"/>
          <w:lang w:val="sr-Cyrl-CS" w:eastAsia="sr-Cyrl-CS"/>
        </w:rPr>
        <w:t>е</w:t>
      </w:r>
      <w:r w:rsidR="004916E6">
        <w:rPr>
          <w:rFonts w:asciiTheme="minorHAnsi" w:hAnsiTheme="minorHAnsi"/>
          <w:sz w:val="20"/>
          <w:szCs w:val="20"/>
          <w:lang w:val="sr-Cyrl-CS" w:eastAsia="sr-Cyrl-CS"/>
        </w:rPr>
        <w:t xml:space="preserve"> државне обвезнице. </w:t>
      </w:r>
      <w:r w:rsidRPr="008C6F9F">
        <w:rPr>
          <w:rFonts w:asciiTheme="minorHAnsi" w:hAnsiTheme="minorHAnsi"/>
          <w:sz w:val="20"/>
          <w:szCs w:val="20"/>
          <w:lang w:val="sr-Cyrl-CS" w:eastAsia="sr-Cyrl-CS"/>
        </w:rPr>
        <w:t>Улагања у хартије од вриједности привредних д</w:t>
      </w:r>
      <w:r w:rsidR="00823B1A">
        <w:rPr>
          <w:rFonts w:asciiTheme="minorHAnsi" w:hAnsiTheme="minorHAnsi"/>
          <w:sz w:val="20"/>
          <w:szCs w:val="20"/>
          <w:lang w:val="sr-Cyrl-CS" w:eastAsia="sr-Cyrl-CS"/>
        </w:rPr>
        <w:t xml:space="preserve">руштава имају најмање учешће, </w:t>
      </w:r>
      <w:r w:rsidR="004916E6">
        <w:rPr>
          <w:rFonts w:asciiTheme="minorHAnsi" w:hAnsiTheme="minorHAnsi"/>
          <w:sz w:val="20"/>
          <w:szCs w:val="20"/>
          <w:lang w:val="sr-Cyrl-CS" w:eastAsia="sr-Cyrl-CS"/>
        </w:rPr>
        <w:t>3,62</w:t>
      </w:r>
      <w:r w:rsidRPr="008C6F9F">
        <w:rPr>
          <w:rFonts w:asciiTheme="minorHAnsi" w:hAnsiTheme="minorHAnsi"/>
          <w:sz w:val="20"/>
          <w:szCs w:val="20"/>
          <w:lang w:val="sr-Cyrl-CS" w:eastAsia="sr-Cyrl-CS"/>
        </w:rPr>
        <w:t>%</w:t>
      </w:r>
      <w:r w:rsidR="00823B1A">
        <w:rPr>
          <w:rFonts w:asciiTheme="minorHAnsi" w:hAnsiTheme="minorHAnsi"/>
          <w:sz w:val="20"/>
          <w:szCs w:val="20"/>
          <w:lang w:val="sr-Cyrl-CS" w:eastAsia="sr-Cyrl-CS"/>
        </w:rPr>
        <w:t xml:space="preserve"> или </w:t>
      </w:r>
      <w:r w:rsidR="004916E6">
        <w:rPr>
          <w:rFonts w:asciiTheme="minorHAnsi" w:hAnsiTheme="minorHAnsi"/>
          <w:sz w:val="20"/>
          <w:szCs w:val="20"/>
          <w:lang w:val="sr-Cyrl-CS" w:eastAsia="sr-Cyrl-CS"/>
        </w:rPr>
        <w:t>291.733,91</w:t>
      </w:r>
      <w:r w:rsidR="00823B1A">
        <w:rPr>
          <w:rFonts w:asciiTheme="minorHAnsi" w:hAnsiTheme="minorHAnsi"/>
          <w:sz w:val="20"/>
          <w:szCs w:val="20"/>
          <w:lang w:val="sr-Cyrl-CS" w:eastAsia="sr-Cyrl-CS"/>
        </w:rPr>
        <w:t xml:space="preserve"> КМ у апсолутном износу</w:t>
      </w:r>
      <w:r w:rsidRPr="008C6F9F">
        <w:rPr>
          <w:rFonts w:asciiTheme="minorHAnsi" w:hAnsiTheme="minorHAnsi"/>
          <w:sz w:val="20"/>
          <w:szCs w:val="20"/>
          <w:lang w:val="sr-Cyrl-CS" w:eastAsia="sr-Cyrl-CS"/>
        </w:rPr>
        <w:t>.</w:t>
      </w:r>
    </w:p>
    <w:p w:rsidR="00862348" w:rsidRDefault="00862348" w:rsidP="001538EF">
      <w:pPr>
        <w:rPr>
          <w:rFonts w:asciiTheme="minorHAnsi" w:hAnsiTheme="minorHAnsi"/>
          <w:sz w:val="20"/>
          <w:szCs w:val="20"/>
          <w:lang w:val="sr-Cyrl-CS" w:eastAsia="sr-Cyrl-CS"/>
        </w:rPr>
      </w:pPr>
    </w:p>
    <w:p w:rsidR="00823B1A" w:rsidRDefault="00823B1A" w:rsidP="00125192">
      <w:pPr>
        <w:jc w:val="center"/>
        <w:rPr>
          <w:rFonts w:asciiTheme="minorHAnsi" w:hAnsiTheme="minorHAnsi"/>
          <w:b/>
          <w:sz w:val="20"/>
          <w:szCs w:val="20"/>
          <w:lang w:val="sr-Cyrl-CS" w:eastAsia="sr-Cyrl-CS"/>
        </w:rPr>
      </w:pPr>
      <w:r>
        <w:rPr>
          <w:rFonts w:asciiTheme="minorHAnsi" w:hAnsiTheme="minorHAnsi"/>
          <w:b/>
          <w:sz w:val="20"/>
          <w:szCs w:val="20"/>
          <w:lang w:val="sr-Cyrl-CS" w:eastAsia="sr-Cyrl-CS"/>
        </w:rPr>
        <w:t xml:space="preserve">Аналитички </w:t>
      </w:r>
      <w:r w:rsidR="00A3089B">
        <w:rPr>
          <w:rFonts w:asciiTheme="minorHAnsi" w:hAnsiTheme="minorHAnsi"/>
          <w:b/>
          <w:sz w:val="20"/>
          <w:szCs w:val="20"/>
          <w:lang w:val="sr-Cyrl-CS" w:eastAsia="sr-Cyrl-CS"/>
        </w:rPr>
        <w:t>п</w:t>
      </w:r>
      <w:r w:rsidRPr="005767EF">
        <w:rPr>
          <w:rFonts w:asciiTheme="minorHAnsi" w:hAnsiTheme="minorHAnsi"/>
          <w:b/>
          <w:sz w:val="20"/>
          <w:szCs w:val="20"/>
          <w:lang w:val="sr-Cyrl-CS" w:eastAsia="sr-Cyrl-CS"/>
        </w:rPr>
        <w:t>реглед стања хартија од вриједности на дан 31.12.202</w:t>
      </w:r>
      <w:r w:rsidR="00E41B56">
        <w:rPr>
          <w:rFonts w:asciiTheme="minorHAnsi" w:hAnsiTheme="minorHAnsi"/>
          <w:b/>
          <w:sz w:val="20"/>
          <w:szCs w:val="20"/>
          <w:lang w:val="sr-Cyrl-CS" w:eastAsia="sr-Cyrl-CS"/>
        </w:rPr>
        <w:t>4</w:t>
      </w:r>
      <w:r w:rsidRPr="005767EF">
        <w:rPr>
          <w:rFonts w:asciiTheme="minorHAnsi" w:hAnsiTheme="minorHAnsi"/>
          <w:b/>
          <w:sz w:val="20"/>
          <w:szCs w:val="20"/>
          <w:lang w:val="sr-Cyrl-CS" w:eastAsia="sr-Cyrl-CS"/>
        </w:rPr>
        <w:t>. године</w:t>
      </w:r>
    </w:p>
    <w:p w:rsidR="00A57BE7" w:rsidRDefault="00A57BE7" w:rsidP="00823B1A">
      <w:pPr>
        <w:jc w:val="center"/>
        <w:rPr>
          <w:rFonts w:asciiTheme="minorHAnsi" w:eastAsia="Calibri" w:hAnsiTheme="minorHAnsi"/>
          <w:b/>
          <w:color w:val="auto"/>
          <w:sz w:val="20"/>
          <w:szCs w:val="20"/>
          <w:lang w:val="sr-Cyrl-BA" w:eastAsia="en-US"/>
        </w:rPr>
      </w:pPr>
    </w:p>
    <w:p w:rsidR="00B94C03" w:rsidRPr="00651E63" w:rsidRDefault="00E41B56" w:rsidP="00651E63">
      <w:pPr>
        <w:jc w:val="right"/>
        <w:rPr>
          <w:rFonts w:asciiTheme="minorHAnsi" w:eastAsia="Calibri" w:hAnsiTheme="minorHAnsi"/>
          <w:b/>
          <w:color w:val="auto"/>
          <w:sz w:val="20"/>
          <w:szCs w:val="20"/>
          <w:lang w:val="sr-Cyrl-BA" w:eastAsia="en-US"/>
        </w:rPr>
      </w:pPr>
      <w:r>
        <w:rPr>
          <w:rFonts w:asciiTheme="minorHAnsi" w:eastAsia="Calibri" w:hAnsiTheme="minorHAnsi"/>
          <w:b/>
          <w:color w:val="auto"/>
          <w:sz w:val="20"/>
          <w:szCs w:val="20"/>
          <w:lang w:val="sr-Cyrl-BA" w:eastAsia="en-US"/>
        </w:rPr>
        <w:t>Табела 2</w:t>
      </w:r>
      <w:r w:rsidR="0034546F">
        <w:rPr>
          <w:rFonts w:asciiTheme="minorHAnsi" w:eastAsia="Calibri" w:hAnsiTheme="minorHAnsi"/>
          <w:b/>
          <w:color w:val="auto"/>
          <w:sz w:val="20"/>
          <w:szCs w:val="20"/>
          <w:lang w:val="sr-Cyrl-BA" w:eastAsia="en-US"/>
        </w:rPr>
        <w:t>4</w:t>
      </w:r>
    </w:p>
    <w:tbl>
      <w:tblPr>
        <w:tblW w:w="9004" w:type="dxa"/>
        <w:tblInd w:w="93" w:type="dxa"/>
        <w:tblLayout w:type="fixed"/>
        <w:tblLook w:val="04A0" w:firstRow="1" w:lastRow="0" w:firstColumn="1" w:lastColumn="0" w:noHBand="0" w:noVBand="1"/>
      </w:tblPr>
      <w:tblGrid>
        <w:gridCol w:w="582"/>
        <w:gridCol w:w="1276"/>
        <w:gridCol w:w="1356"/>
        <w:gridCol w:w="770"/>
        <w:gridCol w:w="1134"/>
        <w:gridCol w:w="851"/>
        <w:gridCol w:w="992"/>
        <w:gridCol w:w="992"/>
        <w:gridCol w:w="1051"/>
      </w:tblGrid>
      <w:tr w:rsidR="00651E63" w:rsidRPr="00651E63" w:rsidTr="007B1F0E">
        <w:trPr>
          <w:trHeight w:val="720"/>
        </w:trPr>
        <w:tc>
          <w:tcPr>
            <w:tcW w:w="582"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РЕД. БР.</w:t>
            </w:r>
          </w:p>
        </w:tc>
        <w:tc>
          <w:tcPr>
            <w:tcW w:w="1276" w:type="dxa"/>
            <w:tcBorders>
              <w:top w:val="single" w:sz="4" w:space="0" w:color="auto"/>
              <w:left w:val="nil"/>
              <w:bottom w:val="single" w:sz="4" w:space="0" w:color="auto"/>
              <w:right w:val="single" w:sz="4" w:space="0" w:color="auto"/>
            </w:tcBorders>
            <w:shd w:val="clear" w:color="000000" w:fill="8DB4E2"/>
            <w:noWrap/>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ОЗНАКА ХАРТИЈЕ</w:t>
            </w:r>
          </w:p>
        </w:tc>
        <w:tc>
          <w:tcPr>
            <w:tcW w:w="1356" w:type="dxa"/>
            <w:tcBorders>
              <w:top w:val="single" w:sz="4" w:space="0" w:color="auto"/>
              <w:left w:val="nil"/>
              <w:bottom w:val="single" w:sz="4" w:space="0" w:color="auto"/>
              <w:right w:val="single" w:sz="4" w:space="0" w:color="auto"/>
            </w:tcBorders>
            <w:shd w:val="clear" w:color="000000" w:fill="8DB4E2"/>
            <w:noWrap/>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ИЗНОС ЕМИСИЈЕ</w:t>
            </w:r>
          </w:p>
        </w:tc>
        <w:tc>
          <w:tcPr>
            <w:tcW w:w="770" w:type="dxa"/>
            <w:tcBorders>
              <w:top w:val="single" w:sz="4" w:space="0" w:color="auto"/>
              <w:left w:val="nil"/>
              <w:bottom w:val="single" w:sz="4" w:space="0" w:color="auto"/>
              <w:right w:val="single" w:sz="4" w:space="0" w:color="auto"/>
            </w:tcBorders>
            <w:shd w:val="clear" w:color="000000" w:fill="8DB4E2"/>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БРОЈ ОБВЕЗНИЦА</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КУПЉЕНИ ИЗНОС</w:t>
            </w:r>
          </w:p>
        </w:tc>
        <w:tc>
          <w:tcPr>
            <w:tcW w:w="851" w:type="dxa"/>
            <w:tcBorders>
              <w:top w:val="single" w:sz="4" w:space="0" w:color="auto"/>
              <w:left w:val="nil"/>
              <w:bottom w:val="single" w:sz="4" w:space="0" w:color="auto"/>
              <w:right w:val="single" w:sz="4" w:space="0" w:color="auto"/>
            </w:tcBorders>
            <w:shd w:val="clear" w:color="000000" w:fill="8DB4E2"/>
            <w:vAlign w:val="center"/>
            <w:hideMark/>
          </w:tcPr>
          <w:p w:rsidR="00651E63" w:rsidRPr="00651E63" w:rsidRDefault="00651E63" w:rsidP="00534931">
            <w:pPr>
              <w:ind w:right="-108"/>
              <w:jc w:val="center"/>
              <w:rPr>
                <w:rFonts w:ascii="Calibri" w:hAnsi="Calibri"/>
                <w:b/>
                <w:bCs/>
                <w:sz w:val="16"/>
                <w:szCs w:val="16"/>
              </w:rPr>
            </w:pPr>
            <w:r w:rsidRPr="00651E63">
              <w:rPr>
                <w:rFonts w:ascii="Calibri" w:hAnsi="Calibri"/>
                <w:b/>
                <w:bCs/>
                <w:sz w:val="16"/>
                <w:szCs w:val="16"/>
              </w:rPr>
              <w:t>КАМАТНА СТОПА</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ДАТУМ РЕГИСТРАЦИЈЕ У ЦР ХОВ</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СТАЊЕ НА ДАН 31.12.2024</w:t>
            </w:r>
          </w:p>
        </w:tc>
        <w:tc>
          <w:tcPr>
            <w:tcW w:w="1051" w:type="dxa"/>
            <w:tcBorders>
              <w:top w:val="single" w:sz="4" w:space="0" w:color="auto"/>
              <w:left w:val="nil"/>
              <w:bottom w:val="single" w:sz="4" w:space="0" w:color="auto"/>
              <w:right w:val="single" w:sz="4" w:space="0" w:color="auto"/>
            </w:tcBorders>
            <w:shd w:val="clear" w:color="000000" w:fill="8DB4E2"/>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ДАТУМ ДОСПИЈЕЋА</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RSBD-O44 (63. emisija)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15.000.000,00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000000" w:fill="FFFFFF"/>
            <w:vAlign w:val="center"/>
            <w:hideMark/>
          </w:tcPr>
          <w:p w:rsidR="00651E63" w:rsidRPr="00651E63" w:rsidRDefault="00651E63" w:rsidP="00651E63">
            <w:pPr>
              <w:jc w:val="center"/>
              <w:rPr>
                <w:rFonts w:ascii="Calibri" w:hAnsi="Calibri"/>
                <w:color w:val="090D48"/>
                <w:sz w:val="16"/>
                <w:szCs w:val="16"/>
              </w:rPr>
            </w:pPr>
            <w:r w:rsidRPr="00651E63">
              <w:rPr>
                <w:rFonts w:ascii="Calibri" w:hAnsi="Calibri"/>
                <w:color w:val="090D48"/>
                <w:sz w:val="16"/>
                <w:szCs w:val="16"/>
              </w:rPr>
              <w:t>27.9.2023.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7B1F0E">
            <w:pPr>
              <w:ind w:left="-108" w:right="-107"/>
              <w:jc w:val="right"/>
              <w:rPr>
                <w:rFonts w:ascii="Calibri" w:hAnsi="Calibri"/>
                <w:sz w:val="16"/>
                <w:szCs w:val="16"/>
              </w:rPr>
            </w:pPr>
            <w:r w:rsidRPr="00651E63">
              <w:rPr>
                <w:rFonts w:ascii="Calibri" w:hAnsi="Calibri"/>
                <w:sz w:val="16"/>
                <w:szCs w:val="16"/>
              </w:rPr>
              <w:t>800.000,00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27.09.2028.</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RSBD-O-03 (4. emisija)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25.000.000,00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1.450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1.468.850,00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21.06.2017.</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7B1F0E">
            <w:pPr>
              <w:ind w:left="-108" w:right="-107"/>
              <w:jc w:val="right"/>
              <w:rPr>
                <w:rFonts w:ascii="Calibri" w:hAnsi="Calibri"/>
                <w:sz w:val="16"/>
                <w:szCs w:val="16"/>
              </w:rPr>
            </w:pPr>
            <w:r w:rsidRPr="00651E63">
              <w:rPr>
                <w:rFonts w:ascii="Calibri" w:hAnsi="Calibri"/>
                <w:sz w:val="16"/>
                <w:szCs w:val="16"/>
              </w:rPr>
              <w:t>1.468.850,00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21.06.2027.</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3 .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RSBD-O11 (32. emisija)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1.063.200,00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05.04.2019.</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7B1F0E">
            <w:pPr>
              <w:ind w:left="-108" w:right="-107"/>
              <w:jc w:val="right"/>
              <w:rPr>
                <w:rFonts w:ascii="Calibri" w:hAnsi="Calibri"/>
                <w:sz w:val="16"/>
                <w:szCs w:val="16"/>
              </w:rPr>
            </w:pPr>
            <w:r w:rsidRPr="00651E63">
              <w:rPr>
                <w:rFonts w:ascii="Calibri" w:hAnsi="Calibri"/>
                <w:sz w:val="16"/>
                <w:szCs w:val="16"/>
              </w:rPr>
              <w:t>1.063.200,00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05.04.2029.</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4 .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RSBD -019 (40. emisija)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477.050,00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16.04.2020.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7B1F0E">
            <w:pPr>
              <w:ind w:left="-108" w:right="-107"/>
              <w:jc w:val="right"/>
              <w:rPr>
                <w:rFonts w:ascii="Calibri" w:hAnsi="Calibri"/>
                <w:sz w:val="16"/>
                <w:szCs w:val="16"/>
              </w:rPr>
            </w:pPr>
            <w:r w:rsidRPr="00651E63">
              <w:rPr>
                <w:rFonts w:ascii="Calibri" w:hAnsi="Calibri"/>
                <w:sz w:val="16"/>
                <w:szCs w:val="16"/>
              </w:rPr>
              <w:t>477.050,00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16.04.2025.</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5 .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RABD-O49 (68 emisija)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100.760,00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22.08.2024.</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7B1F0E">
            <w:pPr>
              <w:ind w:left="-108" w:right="-107"/>
              <w:jc w:val="right"/>
              <w:rPr>
                <w:rFonts w:ascii="Calibri" w:hAnsi="Calibri"/>
                <w:sz w:val="16"/>
                <w:szCs w:val="16"/>
              </w:rPr>
            </w:pPr>
            <w:r w:rsidRPr="00651E63">
              <w:rPr>
                <w:rFonts w:ascii="Calibri" w:hAnsi="Calibri"/>
                <w:sz w:val="16"/>
                <w:szCs w:val="16"/>
              </w:rPr>
              <w:t>100.760,00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22.08.2029.</w:t>
            </w:r>
          </w:p>
        </w:tc>
      </w:tr>
      <w:tr w:rsidR="00651E63" w:rsidRPr="00651E63" w:rsidTr="007B1F0E">
        <w:trPr>
          <w:trHeight w:val="315"/>
        </w:trPr>
        <w:tc>
          <w:tcPr>
            <w:tcW w:w="1858"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УКУПНО ХОВ РЕПУБЛИКЕ СРПСКЕ (5)</w:t>
            </w:r>
          </w:p>
        </w:tc>
        <w:tc>
          <w:tcPr>
            <w:tcW w:w="1356" w:type="dxa"/>
            <w:tcBorders>
              <w:top w:val="nil"/>
              <w:left w:val="nil"/>
              <w:bottom w:val="single" w:sz="4" w:space="0" w:color="auto"/>
              <w:right w:val="single" w:sz="4" w:space="0" w:color="auto"/>
            </w:tcBorders>
            <w:shd w:val="clear" w:color="000000" w:fill="C5D9F1"/>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 </w:t>
            </w:r>
          </w:p>
        </w:tc>
        <w:tc>
          <w:tcPr>
            <w:tcW w:w="770" w:type="dxa"/>
            <w:tcBorders>
              <w:top w:val="nil"/>
              <w:left w:val="nil"/>
              <w:bottom w:val="single" w:sz="4" w:space="0" w:color="auto"/>
              <w:right w:val="single" w:sz="4" w:space="0" w:color="auto"/>
            </w:tcBorders>
            <w:shd w:val="clear" w:color="000000" w:fill="C5D9F1"/>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right"/>
              <w:rPr>
                <w:rFonts w:ascii="Calibri" w:hAnsi="Calibri"/>
                <w:b/>
                <w:bCs/>
                <w:sz w:val="16"/>
                <w:szCs w:val="16"/>
              </w:rPr>
            </w:pPr>
            <w:r w:rsidRPr="00651E63">
              <w:rPr>
                <w:rFonts w:ascii="Calibri" w:hAnsi="Calibri"/>
                <w:b/>
                <w:bCs/>
                <w:sz w:val="16"/>
                <w:szCs w:val="16"/>
              </w:rPr>
              <w:t>4.109.860,00</w:t>
            </w:r>
          </w:p>
        </w:tc>
        <w:tc>
          <w:tcPr>
            <w:tcW w:w="851"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7B1F0E">
            <w:pPr>
              <w:ind w:right="-108"/>
              <w:jc w:val="right"/>
              <w:rPr>
                <w:rFonts w:ascii="Calibri" w:hAnsi="Calibri"/>
                <w:b/>
                <w:bCs/>
                <w:sz w:val="16"/>
                <w:szCs w:val="16"/>
              </w:rPr>
            </w:pPr>
            <w:r w:rsidRPr="00651E63">
              <w:rPr>
                <w:rFonts w:ascii="Calibri" w:hAnsi="Calibri"/>
                <w:b/>
                <w:bCs/>
                <w:sz w:val="16"/>
                <w:szCs w:val="16"/>
              </w:rPr>
              <w:t>3.909.860,00</w:t>
            </w:r>
          </w:p>
        </w:tc>
        <w:tc>
          <w:tcPr>
            <w:tcW w:w="1051"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 </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6 .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OSOD-O-A Srbac</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3.500.000,00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19.12.2017.</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226.496,16</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19.12.2031.</w:t>
            </w:r>
          </w:p>
        </w:tc>
      </w:tr>
      <w:tr w:rsidR="00651E63" w:rsidRPr="00651E63" w:rsidTr="007B1F0E">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7 .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xml:space="preserve">RGBZ-O-A Rogatica </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900.000,00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15.02.2018.</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114.964,30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15.02.2028.</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8 .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xml:space="preserve">BLKI-O-B Banja Luka </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2.845</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295.880,00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26.04.2018.</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34.769,46</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26.04.2025.</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9 .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OKRZ-O-A Kotor Varoš</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5.000.000,00</w:t>
            </w:r>
          </w:p>
        </w:tc>
        <w:tc>
          <w:tcPr>
            <w:tcW w:w="770"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2.923</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292.329,23</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4,40%</w:t>
            </w:r>
          </w:p>
        </w:tc>
        <w:tc>
          <w:tcPr>
            <w:tcW w:w="992"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05.10.2018.</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177.862,67</w:t>
            </w:r>
          </w:p>
        </w:tc>
        <w:tc>
          <w:tcPr>
            <w:tcW w:w="1051"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05.10.2028.</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10 .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SLRF -O-A Sokolac</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5.500.000,00</w:t>
            </w:r>
          </w:p>
        </w:tc>
        <w:tc>
          <w:tcPr>
            <w:tcW w:w="770"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25.02.2019.</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250.087,77</w:t>
            </w:r>
          </w:p>
        </w:tc>
        <w:tc>
          <w:tcPr>
            <w:tcW w:w="1051"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25.02.2034.</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11 .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OSVL-O-A Vlasenica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1.800.000,00</w:t>
            </w:r>
          </w:p>
        </w:tc>
        <w:tc>
          <w:tcPr>
            <w:tcW w:w="770"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18.000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09.10.2019</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134.357,35</w:t>
            </w:r>
          </w:p>
        </w:tc>
        <w:tc>
          <w:tcPr>
            <w:tcW w:w="1051"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09.10.2031.</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12 .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color w:val="auto"/>
                <w:sz w:val="16"/>
                <w:szCs w:val="16"/>
              </w:rPr>
            </w:pPr>
            <w:r w:rsidRPr="00651E63">
              <w:rPr>
                <w:rFonts w:ascii="Calibri" w:hAnsi="Calibri"/>
                <w:color w:val="auto"/>
                <w:sz w:val="16"/>
                <w:szCs w:val="16"/>
              </w:rPr>
              <w:t>OSKI -O-A Opština  Srbac</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color w:val="auto"/>
                <w:sz w:val="16"/>
                <w:szCs w:val="16"/>
              </w:rPr>
            </w:pPr>
            <w:r w:rsidRPr="00651E63">
              <w:rPr>
                <w:rFonts w:ascii="Calibri" w:hAnsi="Calibri"/>
                <w:color w:val="auto"/>
                <w:sz w:val="16"/>
                <w:szCs w:val="16"/>
              </w:rPr>
              <w:t>1.200.000,00</w:t>
            </w:r>
          </w:p>
        </w:tc>
        <w:tc>
          <w:tcPr>
            <w:tcW w:w="770"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right"/>
              <w:rPr>
                <w:rFonts w:ascii="Calibri" w:hAnsi="Calibri"/>
                <w:color w:val="auto"/>
                <w:sz w:val="16"/>
                <w:szCs w:val="16"/>
              </w:rPr>
            </w:pPr>
            <w:r w:rsidRPr="00651E63">
              <w:rPr>
                <w:rFonts w:ascii="Calibri" w:hAnsi="Calibri"/>
                <w:color w:val="auto"/>
                <w:sz w:val="16"/>
                <w:szCs w:val="16"/>
              </w:rPr>
              <w:t>12.000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color w:val="auto"/>
                <w:sz w:val="16"/>
                <w:szCs w:val="16"/>
              </w:rPr>
            </w:pPr>
            <w:r w:rsidRPr="00651E63">
              <w:rPr>
                <w:rFonts w:ascii="Calibri" w:hAnsi="Calibri"/>
                <w:color w:val="auto"/>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color w:val="auto"/>
                <w:sz w:val="16"/>
                <w:szCs w:val="16"/>
              </w:rPr>
            </w:pPr>
            <w:r w:rsidRPr="00651E63">
              <w:rPr>
                <w:rFonts w:ascii="Calibri" w:hAnsi="Calibri"/>
                <w:color w:val="auto"/>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08.06.2021</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color w:val="auto"/>
                <w:sz w:val="16"/>
                <w:szCs w:val="16"/>
              </w:rPr>
            </w:pPr>
            <w:r w:rsidRPr="00651E63">
              <w:rPr>
                <w:rFonts w:ascii="Calibri" w:hAnsi="Calibri"/>
                <w:color w:val="auto"/>
                <w:sz w:val="16"/>
                <w:szCs w:val="16"/>
              </w:rPr>
              <w:t>300.000,00</w:t>
            </w:r>
          </w:p>
        </w:tc>
        <w:tc>
          <w:tcPr>
            <w:tcW w:w="1051"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color w:val="auto"/>
                <w:sz w:val="16"/>
                <w:szCs w:val="16"/>
              </w:rPr>
            </w:pPr>
            <w:r w:rsidRPr="00651E63">
              <w:rPr>
                <w:rFonts w:ascii="Calibri" w:hAnsi="Calibri"/>
                <w:color w:val="auto"/>
                <w:sz w:val="16"/>
                <w:szCs w:val="16"/>
              </w:rPr>
              <w:t>08.06.2033.</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651E63" w:rsidRPr="00651E63" w:rsidRDefault="00651E63" w:rsidP="00651E63">
            <w:pPr>
              <w:jc w:val="center"/>
              <w:rPr>
                <w:rFonts w:ascii="Calibri" w:hAnsi="Calibri"/>
                <w:sz w:val="16"/>
                <w:szCs w:val="16"/>
              </w:rPr>
            </w:pPr>
            <w:r w:rsidRPr="00651E63">
              <w:rPr>
                <w:rFonts w:ascii="Calibri" w:hAnsi="Calibri"/>
                <w:sz w:val="16"/>
                <w:szCs w:val="16"/>
              </w:rPr>
              <w:t>13 .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GRPD-O-A Grad Prijedor</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5.500.000,00</w:t>
            </w:r>
          </w:p>
        </w:tc>
        <w:tc>
          <w:tcPr>
            <w:tcW w:w="770"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01.02.2023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255.584,53</w:t>
            </w:r>
          </w:p>
        </w:tc>
        <w:tc>
          <w:tcPr>
            <w:tcW w:w="1051" w:type="dxa"/>
            <w:tcBorders>
              <w:top w:val="nil"/>
              <w:left w:val="nil"/>
              <w:bottom w:val="single" w:sz="4" w:space="0" w:color="auto"/>
              <w:right w:val="single" w:sz="4" w:space="0" w:color="auto"/>
            </w:tcBorders>
            <w:shd w:val="clear" w:color="000000" w:fill="FFFFFF"/>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01.02.2033.</w:t>
            </w:r>
          </w:p>
        </w:tc>
      </w:tr>
      <w:tr w:rsidR="00651E63" w:rsidRPr="00651E63" w:rsidTr="007B1F0E">
        <w:trPr>
          <w:trHeight w:val="315"/>
        </w:trPr>
        <w:tc>
          <w:tcPr>
            <w:tcW w:w="1858" w:type="dxa"/>
            <w:gridSpan w:val="2"/>
            <w:tcBorders>
              <w:top w:val="single" w:sz="4" w:space="0" w:color="auto"/>
              <w:left w:val="single" w:sz="4" w:space="0" w:color="auto"/>
              <w:bottom w:val="single" w:sz="4" w:space="0" w:color="auto"/>
              <w:right w:val="single" w:sz="4" w:space="0" w:color="000000"/>
            </w:tcBorders>
            <w:shd w:val="clear" w:color="000000" w:fill="C5D9F1"/>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УКУПНО ХОВ ЛОКАЛНИХ ЗАЈЕДНИЦА (8)</w:t>
            </w:r>
          </w:p>
        </w:tc>
        <w:tc>
          <w:tcPr>
            <w:tcW w:w="1356" w:type="dxa"/>
            <w:tcBorders>
              <w:top w:val="nil"/>
              <w:left w:val="nil"/>
              <w:bottom w:val="single" w:sz="4" w:space="0" w:color="auto"/>
              <w:right w:val="single" w:sz="4" w:space="0" w:color="auto"/>
            </w:tcBorders>
            <w:shd w:val="clear" w:color="000000" w:fill="C5D9F1"/>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 </w:t>
            </w:r>
          </w:p>
        </w:tc>
        <w:tc>
          <w:tcPr>
            <w:tcW w:w="770" w:type="dxa"/>
            <w:tcBorders>
              <w:top w:val="nil"/>
              <w:left w:val="nil"/>
              <w:bottom w:val="single" w:sz="4" w:space="0" w:color="auto"/>
              <w:right w:val="single" w:sz="4" w:space="0" w:color="auto"/>
            </w:tcBorders>
            <w:shd w:val="clear" w:color="000000" w:fill="C5D9F1"/>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right"/>
              <w:rPr>
                <w:rFonts w:ascii="Calibri" w:hAnsi="Calibri"/>
                <w:b/>
                <w:bCs/>
                <w:sz w:val="16"/>
                <w:szCs w:val="16"/>
              </w:rPr>
            </w:pPr>
            <w:r w:rsidRPr="00651E63">
              <w:rPr>
                <w:rFonts w:ascii="Calibri" w:hAnsi="Calibri"/>
                <w:b/>
                <w:bCs/>
                <w:sz w:val="16"/>
                <w:szCs w:val="16"/>
              </w:rPr>
              <w:t>2.188.209,23</w:t>
            </w:r>
          </w:p>
        </w:tc>
        <w:tc>
          <w:tcPr>
            <w:tcW w:w="851"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left"/>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651E63" w:rsidRPr="00651E63" w:rsidRDefault="00651E63" w:rsidP="007B1F0E">
            <w:pPr>
              <w:ind w:right="-107"/>
              <w:jc w:val="right"/>
              <w:rPr>
                <w:rFonts w:ascii="Calibri" w:hAnsi="Calibri"/>
                <w:b/>
                <w:bCs/>
                <w:sz w:val="16"/>
                <w:szCs w:val="16"/>
              </w:rPr>
            </w:pPr>
            <w:r w:rsidRPr="00651E63">
              <w:rPr>
                <w:rFonts w:ascii="Calibri" w:hAnsi="Calibri"/>
                <w:b/>
                <w:bCs/>
                <w:sz w:val="16"/>
                <w:szCs w:val="16"/>
              </w:rPr>
              <w:t>1.494.122,24</w:t>
            </w:r>
          </w:p>
        </w:tc>
        <w:tc>
          <w:tcPr>
            <w:tcW w:w="1051" w:type="dxa"/>
            <w:tcBorders>
              <w:top w:val="nil"/>
              <w:left w:val="nil"/>
              <w:bottom w:val="single" w:sz="4" w:space="0" w:color="auto"/>
              <w:right w:val="single" w:sz="4" w:space="0" w:color="auto"/>
            </w:tcBorders>
            <w:shd w:val="clear" w:color="000000" w:fill="C5D9F1"/>
            <w:noWrap/>
            <w:vAlign w:val="bottom"/>
            <w:hideMark/>
          </w:tcPr>
          <w:p w:rsidR="00651E63" w:rsidRPr="00651E63" w:rsidRDefault="00651E63" w:rsidP="00651E63">
            <w:pPr>
              <w:jc w:val="center"/>
              <w:rPr>
                <w:rFonts w:ascii="Calibri" w:hAnsi="Calibri"/>
                <w:b/>
                <w:bCs/>
                <w:sz w:val="16"/>
                <w:szCs w:val="16"/>
              </w:rPr>
            </w:pPr>
            <w:r w:rsidRPr="00651E63">
              <w:rPr>
                <w:rFonts w:ascii="Calibri" w:hAnsi="Calibri"/>
                <w:b/>
                <w:bCs/>
                <w:sz w:val="16"/>
                <w:szCs w:val="16"/>
              </w:rPr>
              <w:t> </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14 .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NOVB-O-G  Nova banka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37.600.000,00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04.11.2019.</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600.000,00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04.11.2029.</w:t>
            </w:r>
          </w:p>
        </w:tc>
      </w:tr>
      <w:tr w:rsidR="00651E63" w:rsidRPr="00651E63" w:rsidTr="007B1F0E">
        <w:trPr>
          <w:trHeight w:val="33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15 .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MDPF -O-G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150.000,00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03.10.2023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93.047,18</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03.11.2026.</w:t>
            </w:r>
          </w:p>
        </w:tc>
      </w:tr>
      <w:tr w:rsidR="00651E63" w:rsidRPr="00651E63" w:rsidTr="007B1F0E">
        <w:trPr>
          <w:gridBefore w:val="1"/>
          <w:wBefore w:w="582" w:type="dxa"/>
          <w:trHeight w:val="31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xml:space="preserve">MDPF-O-B MKD PRO-FIN </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1.800.000,00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17.11.2021.</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0,03</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17.11.2024.</w:t>
            </w:r>
          </w:p>
        </w:tc>
      </w:tr>
      <w:tr w:rsidR="00651E63" w:rsidRPr="00651E63" w:rsidTr="007B1F0E">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17 .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xml:space="preserve">MDPF-O-E MKD PRO-FIN </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23.02.2023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83.147,28</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23.03.2025</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18 .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MDPF-O-H MKF PRO-FIN</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1.650.000,00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27.12.2023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69.125,55</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27.12.2026</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19 .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MDPF -O-I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2.650.000,00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01.04.2024</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79.642,20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29.03.2027</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20 .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MDPF-O-J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16.07.2024</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262.246,69</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17.07.2027</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21 .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MDPF-O-K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2.700.000,00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03.10.2024.</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190.026,45</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01.10.2027.</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22 .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MDPF-O-L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2.500.000,00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2.240.000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03.01.2025</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150.000,00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27.12.2027</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23 .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CRRF-O-J MKD Credis</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1.600.000,00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125</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125.000,00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12.09.2023.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83.333,34</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05.09.2026</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24 .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xml:space="preserve">CRRF-O-I MKD Credis </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1.800.000,00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215</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215.000,00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30.12.2022.</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107.500,01</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30.12.2025</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25 .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PIBB-O-B Naša Banka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4.200.000,00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5,25%</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30.04.2024.</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50.000,00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30.10.2024</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26 .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TRRF-O-D  MKD Taurus B luka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05.04.2023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59.866,87</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29.09.2026</w:t>
            </w:r>
          </w:p>
        </w:tc>
      </w:tr>
      <w:tr w:rsidR="00651E63" w:rsidRPr="00651E63" w:rsidTr="007B1F0E">
        <w:trPr>
          <w:trHeight w:val="33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27 .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TRRF-O-E MKD Taurus</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6,70%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24.11.2023</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73.741,37</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17.05.2027</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28 .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TRRF -O-F MKD Taurus B luka</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 </w:t>
            </w:r>
          </w:p>
        </w:tc>
      </w:tr>
      <w:tr w:rsidR="00651E63"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29 .</w:t>
            </w:r>
          </w:p>
        </w:tc>
        <w:tc>
          <w:tcPr>
            <w:tcW w:w="127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left"/>
              <w:rPr>
                <w:rFonts w:ascii="Calibri" w:hAnsi="Calibri"/>
                <w:sz w:val="16"/>
                <w:szCs w:val="16"/>
              </w:rPr>
            </w:pPr>
            <w:r w:rsidRPr="00651E63">
              <w:rPr>
                <w:rFonts w:ascii="Calibri" w:hAnsi="Calibri"/>
                <w:sz w:val="16"/>
                <w:szCs w:val="16"/>
              </w:rPr>
              <w:t>TRRF-O-F MKD Taurus</w:t>
            </w:r>
          </w:p>
        </w:tc>
        <w:tc>
          <w:tcPr>
            <w:tcW w:w="1356"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2.000.000,00</w:t>
            </w:r>
          </w:p>
        </w:tc>
        <w:tc>
          <w:tcPr>
            <w:tcW w:w="770"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6,50%</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05.06.2024.</w:t>
            </w:r>
          </w:p>
        </w:tc>
        <w:tc>
          <w:tcPr>
            <w:tcW w:w="992"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right"/>
              <w:rPr>
                <w:rFonts w:ascii="Calibri" w:hAnsi="Calibri"/>
                <w:sz w:val="16"/>
                <w:szCs w:val="16"/>
              </w:rPr>
            </w:pPr>
            <w:r w:rsidRPr="00651E63">
              <w:rPr>
                <w:rFonts w:ascii="Calibri" w:hAnsi="Calibri"/>
                <w:sz w:val="16"/>
                <w:szCs w:val="16"/>
              </w:rPr>
              <w:t>261.143,39</w:t>
            </w:r>
          </w:p>
        </w:tc>
        <w:tc>
          <w:tcPr>
            <w:tcW w:w="1051" w:type="dxa"/>
            <w:tcBorders>
              <w:top w:val="nil"/>
              <w:left w:val="nil"/>
              <w:bottom w:val="single" w:sz="4" w:space="0" w:color="auto"/>
              <w:right w:val="single" w:sz="4" w:space="0" w:color="auto"/>
            </w:tcBorders>
            <w:shd w:val="clear" w:color="auto" w:fill="auto"/>
            <w:noWrap/>
            <w:vAlign w:val="bottom"/>
            <w:hideMark/>
          </w:tcPr>
          <w:p w:rsidR="00651E63" w:rsidRPr="00651E63" w:rsidRDefault="00651E63" w:rsidP="00651E63">
            <w:pPr>
              <w:jc w:val="center"/>
              <w:rPr>
                <w:rFonts w:ascii="Calibri" w:hAnsi="Calibri"/>
                <w:sz w:val="16"/>
                <w:szCs w:val="16"/>
              </w:rPr>
            </w:pPr>
            <w:r w:rsidRPr="00651E63">
              <w:rPr>
                <w:rFonts w:ascii="Calibri" w:hAnsi="Calibri"/>
                <w:sz w:val="16"/>
                <w:szCs w:val="16"/>
              </w:rPr>
              <w:t>05.12.2027</w:t>
            </w:r>
          </w:p>
        </w:tc>
      </w:tr>
      <w:tr w:rsidR="007B1F0E" w:rsidRPr="00651E63" w:rsidTr="007B1F0E">
        <w:trPr>
          <w:trHeight w:val="315"/>
        </w:trPr>
        <w:tc>
          <w:tcPr>
            <w:tcW w:w="1858" w:type="dxa"/>
            <w:gridSpan w:val="2"/>
            <w:tcBorders>
              <w:top w:val="nil"/>
              <w:left w:val="single" w:sz="4" w:space="0" w:color="auto"/>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left"/>
              <w:rPr>
                <w:rFonts w:ascii="Calibri" w:hAnsi="Calibri"/>
                <w:sz w:val="16"/>
                <w:szCs w:val="16"/>
              </w:rPr>
            </w:pPr>
            <w:r w:rsidRPr="00651E63">
              <w:rPr>
                <w:rFonts w:ascii="Calibri" w:hAnsi="Calibri"/>
                <w:b/>
                <w:bCs/>
                <w:sz w:val="16"/>
                <w:szCs w:val="16"/>
              </w:rPr>
              <w:t>УКУПНО ХОВ ФИН. ИНСТИТУЦИЈА (16)</w:t>
            </w:r>
          </w:p>
        </w:tc>
        <w:tc>
          <w:tcPr>
            <w:tcW w:w="1356"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right"/>
              <w:rPr>
                <w:rFonts w:ascii="Calibri" w:hAnsi="Calibri"/>
                <w:sz w:val="16"/>
                <w:szCs w:val="16"/>
              </w:rPr>
            </w:pPr>
          </w:p>
        </w:tc>
        <w:tc>
          <w:tcPr>
            <w:tcW w:w="770"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right"/>
              <w:rPr>
                <w:rFonts w:ascii="Calibri" w:hAnsi="Calibri"/>
                <w:sz w:val="16"/>
                <w:szCs w:val="16"/>
              </w:rPr>
            </w:pPr>
          </w:p>
        </w:tc>
        <w:tc>
          <w:tcPr>
            <w:tcW w:w="1134"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right"/>
              <w:rPr>
                <w:rFonts w:ascii="Calibri" w:hAnsi="Calibri"/>
                <w:sz w:val="16"/>
                <w:szCs w:val="16"/>
              </w:rPr>
            </w:pPr>
            <w:r w:rsidRPr="00651E63">
              <w:rPr>
                <w:rFonts w:ascii="Calibri" w:hAnsi="Calibri"/>
                <w:b/>
                <w:bCs/>
                <w:sz w:val="16"/>
                <w:szCs w:val="16"/>
              </w:rPr>
              <w:t>2.940.000,00</w:t>
            </w:r>
          </w:p>
        </w:tc>
        <w:tc>
          <w:tcPr>
            <w:tcW w:w="851"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right"/>
              <w:rPr>
                <w:rFonts w:ascii="Calibri" w:hAnsi="Calibri"/>
                <w:sz w:val="16"/>
                <w:szCs w:val="16"/>
              </w:rPr>
            </w:pPr>
          </w:p>
        </w:tc>
        <w:tc>
          <w:tcPr>
            <w:tcW w:w="992"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center"/>
              <w:rPr>
                <w:rFonts w:ascii="Calibri" w:hAnsi="Calibri"/>
                <w:sz w:val="16"/>
                <w:szCs w:val="16"/>
              </w:rPr>
            </w:pPr>
          </w:p>
        </w:tc>
        <w:tc>
          <w:tcPr>
            <w:tcW w:w="992"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7B1F0E">
            <w:pPr>
              <w:ind w:right="-107"/>
              <w:jc w:val="right"/>
              <w:rPr>
                <w:rFonts w:ascii="Calibri" w:hAnsi="Calibri"/>
                <w:sz w:val="16"/>
                <w:szCs w:val="16"/>
              </w:rPr>
            </w:pPr>
            <w:r w:rsidRPr="00651E63">
              <w:rPr>
                <w:rFonts w:ascii="Calibri" w:hAnsi="Calibri"/>
                <w:b/>
                <w:bCs/>
                <w:sz w:val="16"/>
                <w:szCs w:val="16"/>
              </w:rPr>
              <w:t>2.362.820,36</w:t>
            </w:r>
          </w:p>
        </w:tc>
        <w:tc>
          <w:tcPr>
            <w:tcW w:w="1051" w:type="dxa"/>
            <w:tcBorders>
              <w:top w:val="nil"/>
              <w:left w:val="nil"/>
              <w:bottom w:val="single" w:sz="4" w:space="0" w:color="auto"/>
              <w:right w:val="single" w:sz="4" w:space="0" w:color="auto"/>
            </w:tcBorders>
            <w:shd w:val="clear" w:color="auto" w:fill="C6D9F1" w:themeFill="text2" w:themeFillTint="33"/>
            <w:noWrap/>
            <w:vAlign w:val="bottom"/>
          </w:tcPr>
          <w:p w:rsidR="007B1F0E" w:rsidRPr="00651E63" w:rsidRDefault="007B1F0E" w:rsidP="00002758">
            <w:pPr>
              <w:jc w:val="center"/>
              <w:rPr>
                <w:rFonts w:ascii="Calibri" w:hAnsi="Calibri"/>
                <w:sz w:val="16"/>
                <w:szCs w:val="16"/>
              </w:rPr>
            </w:pPr>
          </w:p>
        </w:tc>
      </w:tr>
      <w:tr w:rsidR="007B1F0E"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tcPr>
          <w:p w:rsidR="007B1F0E" w:rsidRPr="007B1F0E" w:rsidRDefault="007B1F0E" w:rsidP="00651E63">
            <w:pPr>
              <w:jc w:val="center"/>
              <w:rPr>
                <w:rFonts w:ascii="Calibri" w:hAnsi="Calibri"/>
                <w:sz w:val="16"/>
                <w:szCs w:val="16"/>
                <w:lang w:val="sr-Cyrl-RS"/>
              </w:rPr>
            </w:pPr>
            <w:r>
              <w:rPr>
                <w:rFonts w:ascii="Calibri" w:hAnsi="Calibri"/>
                <w:sz w:val="16"/>
                <w:szCs w:val="16"/>
                <w:lang w:val="sr-Cyrl-RS"/>
              </w:rPr>
              <w:t>30 .</w:t>
            </w:r>
          </w:p>
        </w:tc>
        <w:tc>
          <w:tcPr>
            <w:tcW w:w="1276" w:type="dxa"/>
            <w:tcBorders>
              <w:top w:val="nil"/>
              <w:left w:val="nil"/>
              <w:bottom w:val="single" w:sz="4" w:space="0" w:color="auto"/>
              <w:right w:val="single" w:sz="4" w:space="0" w:color="auto"/>
            </w:tcBorders>
            <w:shd w:val="clear" w:color="auto" w:fill="auto"/>
            <w:noWrap/>
            <w:vAlign w:val="bottom"/>
          </w:tcPr>
          <w:p w:rsidR="007B1F0E" w:rsidRPr="00651E63" w:rsidRDefault="007B1F0E" w:rsidP="00002758">
            <w:pPr>
              <w:jc w:val="left"/>
              <w:rPr>
                <w:rFonts w:ascii="Calibri" w:hAnsi="Calibri"/>
                <w:sz w:val="16"/>
                <w:szCs w:val="16"/>
              </w:rPr>
            </w:pPr>
            <w:r w:rsidRPr="00651E63">
              <w:rPr>
                <w:rFonts w:ascii="Calibri" w:hAnsi="Calibri"/>
                <w:sz w:val="16"/>
                <w:szCs w:val="16"/>
              </w:rPr>
              <w:t>VDVS-O-A Vodovod Srbac</w:t>
            </w:r>
          </w:p>
        </w:tc>
        <w:tc>
          <w:tcPr>
            <w:tcW w:w="1356"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1.250.000,00</w:t>
            </w:r>
          </w:p>
        </w:tc>
        <w:tc>
          <w:tcPr>
            <w:tcW w:w="770"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2.500</w:t>
            </w:r>
          </w:p>
        </w:tc>
        <w:tc>
          <w:tcPr>
            <w:tcW w:w="1134"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250.000,00</w:t>
            </w:r>
          </w:p>
        </w:tc>
        <w:tc>
          <w:tcPr>
            <w:tcW w:w="851"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5,00%</w:t>
            </w:r>
          </w:p>
        </w:tc>
        <w:tc>
          <w:tcPr>
            <w:tcW w:w="992"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15.10.2018.</w:t>
            </w:r>
          </w:p>
        </w:tc>
        <w:tc>
          <w:tcPr>
            <w:tcW w:w="992"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160.707,90</w:t>
            </w:r>
          </w:p>
        </w:tc>
        <w:tc>
          <w:tcPr>
            <w:tcW w:w="1051"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15.10.2030.</w:t>
            </w:r>
          </w:p>
        </w:tc>
      </w:tr>
      <w:tr w:rsidR="007B1F0E" w:rsidRPr="00651E63" w:rsidTr="007B1F0E">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tcPr>
          <w:p w:rsidR="007B1F0E" w:rsidRPr="007B1F0E" w:rsidRDefault="007B1F0E" w:rsidP="00651E63">
            <w:pPr>
              <w:jc w:val="center"/>
              <w:rPr>
                <w:rFonts w:ascii="Calibri" w:hAnsi="Calibri"/>
                <w:sz w:val="16"/>
                <w:szCs w:val="16"/>
                <w:lang w:val="sr-Cyrl-RS"/>
              </w:rPr>
            </w:pPr>
            <w:r>
              <w:rPr>
                <w:rFonts w:ascii="Calibri" w:hAnsi="Calibri"/>
                <w:sz w:val="16"/>
                <w:szCs w:val="16"/>
                <w:lang w:val="sr-Cyrl-RS"/>
              </w:rPr>
              <w:t>31 .</w:t>
            </w:r>
          </w:p>
        </w:tc>
        <w:tc>
          <w:tcPr>
            <w:tcW w:w="1276" w:type="dxa"/>
            <w:tcBorders>
              <w:top w:val="nil"/>
              <w:left w:val="nil"/>
              <w:bottom w:val="single" w:sz="4" w:space="0" w:color="auto"/>
              <w:right w:val="single" w:sz="4" w:space="0" w:color="auto"/>
            </w:tcBorders>
            <w:shd w:val="clear" w:color="auto" w:fill="auto"/>
            <w:noWrap/>
            <w:vAlign w:val="bottom"/>
          </w:tcPr>
          <w:p w:rsidR="007B1F0E" w:rsidRPr="00651E63" w:rsidRDefault="007B1F0E" w:rsidP="00002758">
            <w:pPr>
              <w:jc w:val="left"/>
              <w:rPr>
                <w:rFonts w:ascii="Calibri" w:hAnsi="Calibri"/>
                <w:sz w:val="16"/>
                <w:szCs w:val="16"/>
              </w:rPr>
            </w:pPr>
            <w:r w:rsidRPr="00651E63">
              <w:rPr>
                <w:rFonts w:ascii="Calibri" w:hAnsi="Calibri"/>
                <w:sz w:val="16"/>
                <w:szCs w:val="16"/>
              </w:rPr>
              <w:t>KMSR-O-A Komunalac  Srbac</w:t>
            </w:r>
          </w:p>
        </w:tc>
        <w:tc>
          <w:tcPr>
            <w:tcW w:w="1356"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410.000,00</w:t>
            </w:r>
          </w:p>
        </w:tc>
        <w:tc>
          <w:tcPr>
            <w:tcW w:w="770"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01.10.2019.</w:t>
            </w:r>
          </w:p>
        </w:tc>
        <w:tc>
          <w:tcPr>
            <w:tcW w:w="992"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131.026,01</w:t>
            </w:r>
          </w:p>
        </w:tc>
        <w:tc>
          <w:tcPr>
            <w:tcW w:w="1051" w:type="dxa"/>
            <w:tcBorders>
              <w:top w:val="nil"/>
              <w:left w:val="nil"/>
              <w:bottom w:val="single" w:sz="4" w:space="0" w:color="auto"/>
              <w:right w:val="single" w:sz="4" w:space="0" w:color="auto"/>
            </w:tcBorders>
            <w:shd w:val="clear" w:color="auto" w:fill="auto"/>
            <w:noWrap/>
            <w:vAlign w:val="center"/>
          </w:tcPr>
          <w:p w:rsidR="007B1F0E" w:rsidRPr="00651E63" w:rsidRDefault="007B1F0E" w:rsidP="007B1F0E">
            <w:pPr>
              <w:jc w:val="right"/>
              <w:rPr>
                <w:rFonts w:ascii="Calibri" w:hAnsi="Calibri"/>
                <w:sz w:val="16"/>
                <w:szCs w:val="16"/>
              </w:rPr>
            </w:pPr>
            <w:r w:rsidRPr="00651E63">
              <w:rPr>
                <w:rFonts w:ascii="Calibri" w:hAnsi="Calibri"/>
                <w:sz w:val="16"/>
                <w:szCs w:val="16"/>
              </w:rPr>
              <w:t>01.10.2031.</w:t>
            </w:r>
          </w:p>
        </w:tc>
      </w:tr>
      <w:tr w:rsidR="007B1F0E" w:rsidRPr="00651E63" w:rsidTr="007B1F0E">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rsidR="007B1F0E" w:rsidRPr="00651E63" w:rsidRDefault="007B1F0E" w:rsidP="00651E63">
            <w:pPr>
              <w:jc w:val="left"/>
              <w:rPr>
                <w:rFonts w:ascii="Calibri" w:hAnsi="Calibri"/>
                <w:b/>
                <w:bCs/>
                <w:sz w:val="16"/>
                <w:szCs w:val="16"/>
              </w:rPr>
            </w:pPr>
            <w:r w:rsidRPr="00651E63">
              <w:rPr>
                <w:rFonts w:ascii="Calibri" w:hAnsi="Calibri"/>
                <w:b/>
                <w:bCs/>
                <w:sz w:val="16"/>
                <w:szCs w:val="16"/>
              </w:rPr>
              <w:t>УКУПНО ХОВ ПРИВРЕДНИХ ДРУШТАВА (2)</w:t>
            </w:r>
          </w:p>
        </w:tc>
        <w:tc>
          <w:tcPr>
            <w:tcW w:w="1356" w:type="dxa"/>
            <w:tcBorders>
              <w:top w:val="nil"/>
              <w:left w:val="nil"/>
              <w:bottom w:val="single" w:sz="4" w:space="0" w:color="auto"/>
              <w:right w:val="single" w:sz="4" w:space="0" w:color="auto"/>
            </w:tcBorders>
            <w:shd w:val="clear" w:color="000000" w:fill="C5D9F1"/>
            <w:vAlign w:val="center"/>
            <w:hideMark/>
          </w:tcPr>
          <w:p w:rsidR="007B1F0E" w:rsidRPr="00651E63" w:rsidRDefault="007B1F0E" w:rsidP="00651E63">
            <w:pPr>
              <w:jc w:val="left"/>
              <w:rPr>
                <w:rFonts w:ascii="Calibri" w:hAnsi="Calibri"/>
                <w:b/>
                <w:bCs/>
                <w:sz w:val="16"/>
                <w:szCs w:val="16"/>
              </w:rPr>
            </w:pPr>
            <w:r w:rsidRPr="00651E63">
              <w:rPr>
                <w:rFonts w:ascii="Calibri" w:hAnsi="Calibri"/>
                <w:b/>
                <w:bCs/>
                <w:sz w:val="16"/>
                <w:szCs w:val="16"/>
              </w:rPr>
              <w:t> </w:t>
            </w:r>
          </w:p>
        </w:tc>
        <w:tc>
          <w:tcPr>
            <w:tcW w:w="770" w:type="dxa"/>
            <w:tcBorders>
              <w:top w:val="nil"/>
              <w:left w:val="nil"/>
              <w:bottom w:val="single" w:sz="4" w:space="0" w:color="auto"/>
              <w:right w:val="single" w:sz="4" w:space="0" w:color="auto"/>
            </w:tcBorders>
            <w:shd w:val="clear" w:color="000000" w:fill="C5D9F1"/>
            <w:vAlign w:val="center"/>
            <w:hideMark/>
          </w:tcPr>
          <w:p w:rsidR="007B1F0E" w:rsidRPr="00651E63" w:rsidRDefault="007B1F0E" w:rsidP="00651E63">
            <w:pPr>
              <w:jc w:val="left"/>
              <w:rPr>
                <w:rFonts w:ascii="Calibri" w:hAnsi="Calibri"/>
                <w:b/>
                <w:bCs/>
                <w:sz w:val="16"/>
                <w:szCs w:val="16"/>
              </w:rPr>
            </w:pPr>
            <w:r w:rsidRPr="00651E63">
              <w:rPr>
                <w:rFonts w:ascii="Calibri" w:hAnsi="Calibri"/>
                <w:b/>
                <w:bCs/>
                <w:sz w:val="16"/>
                <w:szCs w:val="16"/>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7B1F0E" w:rsidRPr="00651E63" w:rsidRDefault="007B1F0E" w:rsidP="00651E63">
            <w:pPr>
              <w:jc w:val="right"/>
              <w:rPr>
                <w:rFonts w:ascii="Calibri" w:hAnsi="Calibri"/>
                <w:b/>
                <w:bCs/>
                <w:sz w:val="16"/>
                <w:szCs w:val="16"/>
              </w:rPr>
            </w:pPr>
            <w:r w:rsidRPr="00651E63">
              <w:rPr>
                <w:rFonts w:ascii="Calibri" w:hAnsi="Calibri"/>
                <w:b/>
                <w:bCs/>
                <w:sz w:val="16"/>
                <w:szCs w:val="16"/>
              </w:rPr>
              <w:t>450.000,00</w:t>
            </w:r>
          </w:p>
        </w:tc>
        <w:tc>
          <w:tcPr>
            <w:tcW w:w="851" w:type="dxa"/>
            <w:tcBorders>
              <w:top w:val="nil"/>
              <w:left w:val="nil"/>
              <w:bottom w:val="single" w:sz="4" w:space="0" w:color="auto"/>
              <w:right w:val="single" w:sz="4" w:space="0" w:color="auto"/>
            </w:tcBorders>
            <w:shd w:val="clear" w:color="000000" w:fill="C5D9F1"/>
            <w:noWrap/>
            <w:vAlign w:val="center"/>
            <w:hideMark/>
          </w:tcPr>
          <w:p w:rsidR="007B1F0E" w:rsidRPr="00651E63" w:rsidRDefault="007B1F0E" w:rsidP="00651E63">
            <w:pPr>
              <w:jc w:val="left"/>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7B1F0E" w:rsidRPr="00651E63" w:rsidRDefault="007B1F0E" w:rsidP="00651E63">
            <w:pPr>
              <w:jc w:val="center"/>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7B1F0E" w:rsidRPr="00651E63" w:rsidRDefault="007B1F0E" w:rsidP="00651E63">
            <w:pPr>
              <w:jc w:val="right"/>
              <w:rPr>
                <w:rFonts w:ascii="Calibri" w:hAnsi="Calibri"/>
                <w:b/>
                <w:bCs/>
                <w:sz w:val="16"/>
                <w:szCs w:val="16"/>
              </w:rPr>
            </w:pPr>
            <w:r w:rsidRPr="00651E63">
              <w:rPr>
                <w:rFonts w:ascii="Calibri" w:hAnsi="Calibri"/>
                <w:b/>
                <w:bCs/>
                <w:sz w:val="16"/>
                <w:szCs w:val="16"/>
              </w:rPr>
              <w:t>291.733,91</w:t>
            </w:r>
          </w:p>
        </w:tc>
        <w:tc>
          <w:tcPr>
            <w:tcW w:w="1051" w:type="dxa"/>
            <w:tcBorders>
              <w:top w:val="nil"/>
              <w:left w:val="nil"/>
              <w:bottom w:val="single" w:sz="4" w:space="0" w:color="auto"/>
              <w:right w:val="single" w:sz="4" w:space="0" w:color="auto"/>
            </w:tcBorders>
            <w:shd w:val="clear" w:color="000000" w:fill="C5D9F1"/>
            <w:noWrap/>
            <w:vAlign w:val="bottom"/>
            <w:hideMark/>
          </w:tcPr>
          <w:p w:rsidR="007B1F0E" w:rsidRPr="00651E63" w:rsidRDefault="007B1F0E" w:rsidP="00651E63">
            <w:pPr>
              <w:jc w:val="center"/>
              <w:rPr>
                <w:rFonts w:ascii="Calibri" w:hAnsi="Calibri"/>
                <w:b/>
                <w:bCs/>
                <w:sz w:val="16"/>
                <w:szCs w:val="16"/>
              </w:rPr>
            </w:pPr>
            <w:r w:rsidRPr="00651E63">
              <w:rPr>
                <w:rFonts w:ascii="Calibri" w:hAnsi="Calibri"/>
                <w:b/>
                <w:bCs/>
                <w:sz w:val="16"/>
                <w:szCs w:val="16"/>
              </w:rPr>
              <w:t> </w:t>
            </w:r>
          </w:p>
        </w:tc>
      </w:tr>
      <w:tr w:rsidR="007B1F0E" w:rsidRPr="00651E63" w:rsidTr="007B1F0E">
        <w:trPr>
          <w:trHeight w:val="315"/>
        </w:trPr>
        <w:tc>
          <w:tcPr>
            <w:tcW w:w="3984" w:type="dxa"/>
            <w:gridSpan w:val="4"/>
            <w:tcBorders>
              <w:top w:val="single" w:sz="4" w:space="0" w:color="auto"/>
              <w:left w:val="single" w:sz="4" w:space="0" w:color="auto"/>
              <w:bottom w:val="single" w:sz="4" w:space="0" w:color="auto"/>
              <w:right w:val="single" w:sz="4" w:space="0" w:color="000000"/>
            </w:tcBorders>
            <w:shd w:val="clear" w:color="000000" w:fill="8DB4E2"/>
            <w:noWrap/>
            <w:vAlign w:val="center"/>
            <w:hideMark/>
          </w:tcPr>
          <w:p w:rsidR="007B1F0E" w:rsidRPr="00651E63" w:rsidRDefault="007B1F0E" w:rsidP="00651E63">
            <w:pPr>
              <w:jc w:val="center"/>
              <w:rPr>
                <w:rFonts w:ascii="Calibri" w:hAnsi="Calibri"/>
                <w:b/>
                <w:bCs/>
                <w:i/>
                <w:iCs/>
                <w:sz w:val="16"/>
                <w:szCs w:val="16"/>
              </w:rPr>
            </w:pPr>
            <w:r w:rsidRPr="00651E63">
              <w:rPr>
                <w:rFonts w:ascii="Calibri" w:hAnsi="Calibri"/>
                <w:b/>
                <w:bCs/>
                <w:i/>
                <w:iCs/>
                <w:sz w:val="16"/>
                <w:szCs w:val="16"/>
              </w:rPr>
              <w:t>УКУПНО ХОВ (31)</w:t>
            </w:r>
          </w:p>
        </w:tc>
        <w:tc>
          <w:tcPr>
            <w:tcW w:w="1134" w:type="dxa"/>
            <w:tcBorders>
              <w:top w:val="nil"/>
              <w:left w:val="nil"/>
              <w:bottom w:val="single" w:sz="4" w:space="0" w:color="auto"/>
              <w:right w:val="single" w:sz="4" w:space="0" w:color="auto"/>
            </w:tcBorders>
            <w:shd w:val="clear" w:color="000000" w:fill="8DB4E2"/>
            <w:noWrap/>
            <w:vAlign w:val="center"/>
            <w:hideMark/>
          </w:tcPr>
          <w:p w:rsidR="007B1F0E" w:rsidRPr="00651E63" w:rsidRDefault="007B1F0E" w:rsidP="00651E63">
            <w:pPr>
              <w:jc w:val="right"/>
              <w:rPr>
                <w:rFonts w:ascii="Calibri" w:hAnsi="Calibri"/>
                <w:b/>
                <w:bCs/>
                <w:i/>
                <w:iCs/>
                <w:sz w:val="16"/>
                <w:szCs w:val="16"/>
              </w:rPr>
            </w:pPr>
            <w:r w:rsidRPr="00651E63">
              <w:rPr>
                <w:rFonts w:ascii="Calibri" w:hAnsi="Calibri"/>
                <w:b/>
                <w:bCs/>
                <w:i/>
                <w:iCs/>
                <w:sz w:val="16"/>
                <w:szCs w:val="16"/>
              </w:rPr>
              <w:t>9.688.069,23</w:t>
            </w:r>
          </w:p>
        </w:tc>
        <w:tc>
          <w:tcPr>
            <w:tcW w:w="851" w:type="dxa"/>
            <w:tcBorders>
              <w:top w:val="nil"/>
              <w:left w:val="nil"/>
              <w:bottom w:val="single" w:sz="4" w:space="0" w:color="auto"/>
              <w:right w:val="single" w:sz="4" w:space="0" w:color="auto"/>
            </w:tcBorders>
            <w:shd w:val="clear" w:color="000000" w:fill="8DB4E2"/>
            <w:noWrap/>
            <w:vAlign w:val="center"/>
            <w:hideMark/>
          </w:tcPr>
          <w:p w:rsidR="007B1F0E" w:rsidRPr="00651E63" w:rsidRDefault="007B1F0E" w:rsidP="00651E63">
            <w:pPr>
              <w:jc w:val="left"/>
              <w:rPr>
                <w:rFonts w:ascii="Calibri" w:hAnsi="Calibri"/>
                <w:b/>
                <w:bCs/>
                <w:i/>
                <w:iCs/>
                <w:sz w:val="16"/>
                <w:szCs w:val="16"/>
              </w:rPr>
            </w:pPr>
            <w:r w:rsidRPr="00651E63">
              <w:rPr>
                <w:rFonts w:ascii="Calibri" w:hAnsi="Calibri"/>
                <w:b/>
                <w:bCs/>
                <w:i/>
                <w:iCs/>
                <w:sz w:val="16"/>
                <w:szCs w:val="16"/>
              </w:rPr>
              <w:t> </w:t>
            </w:r>
          </w:p>
        </w:tc>
        <w:tc>
          <w:tcPr>
            <w:tcW w:w="992" w:type="dxa"/>
            <w:tcBorders>
              <w:top w:val="nil"/>
              <w:left w:val="nil"/>
              <w:bottom w:val="single" w:sz="4" w:space="0" w:color="auto"/>
              <w:right w:val="single" w:sz="4" w:space="0" w:color="auto"/>
            </w:tcBorders>
            <w:shd w:val="clear" w:color="000000" w:fill="8DB4E2"/>
            <w:noWrap/>
            <w:vAlign w:val="center"/>
            <w:hideMark/>
          </w:tcPr>
          <w:p w:rsidR="007B1F0E" w:rsidRPr="00651E63" w:rsidRDefault="007B1F0E" w:rsidP="00651E63">
            <w:pPr>
              <w:jc w:val="center"/>
              <w:rPr>
                <w:rFonts w:ascii="Calibri" w:hAnsi="Calibri"/>
                <w:b/>
                <w:bCs/>
                <w:i/>
                <w:iCs/>
                <w:sz w:val="16"/>
                <w:szCs w:val="16"/>
              </w:rPr>
            </w:pPr>
            <w:r w:rsidRPr="00651E63">
              <w:rPr>
                <w:rFonts w:ascii="Calibri" w:hAnsi="Calibri"/>
                <w:b/>
                <w:bCs/>
                <w:i/>
                <w:iCs/>
                <w:sz w:val="16"/>
                <w:szCs w:val="16"/>
              </w:rPr>
              <w:t> </w:t>
            </w:r>
          </w:p>
        </w:tc>
        <w:tc>
          <w:tcPr>
            <w:tcW w:w="992" w:type="dxa"/>
            <w:tcBorders>
              <w:top w:val="nil"/>
              <w:left w:val="nil"/>
              <w:bottom w:val="single" w:sz="4" w:space="0" w:color="auto"/>
              <w:right w:val="single" w:sz="4" w:space="0" w:color="auto"/>
            </w:tcBorders>
            <w:shd w:val="clear" w:color="000000" w:fill="8DB4E2"/>
            <w:noWrap/>
            <w:vAlign w:val="center"/>
            <w:hideMark/>
          </w:tcPr>
          <w:p w:rsidR="007B1F0E" w:rsidRPr="00651E63" w:rsidRDefault="007B1F0E" w:rsidP="007B1F0E">
            <w:pPr>
              <w:ind w:right="-108"/>
              <w:jc w:val="right"/>
              <w:rPr>
                <w:rFonts w:ascii="Calibri" w:hAnsi="Calibri"/>
                <w:b/>
                <w:bCs/>
                <w:i/>
                <w:iCs/>
                <w:sz w:val="16"/>
                <w:szCs w:val="16"/>
              </w:rPr>
            </w:pPr>
            <w:r w:rsidRPr="00651E63">
              <w:rPr>
                <w:rFonts w:ascii="Calibri" w:hAnsi="Calibri"/>
                <w:b/>
                <w:bCs/>
                <w:i/>
                <w:iCs/>
                <w:sz w:val="16"/>
                <w:szCs w:val="16"/>
              </w:rPr>
              <w:t>8.058.536,51</w:t>
            </w:r>
          </w:p>
        </w:tc>
        <w:tc>
          <w:tcPr>
            <w:tcW w:w="1051" w:type="dxa"/>
            <w:tcBorders>
              <w:top w:val="nil"/>
              <w:left w:val="nil"/>
              <w:bottom w:val="single" w:sz="4" w:space="0" w:color="auto"/>
              <w:right w:val="single" w:sz="4" w:space="0" w:color="auto"/>
            </w:tcBorders>
            <w:shd w:val="clear" w:color="000000" w:fill="8DB4E2"/>
            <w:noWrap/>
            <w:vAlign w:val="center"/>
            <w:hideMark/>
          </w:tcPr>
          <w:p w:rsidR="007B1F0E" w:rsidRPr="00651E63" w:rsidRDefault="007B1F0E" w:rsidP="00651E63">
            <w:pPr>
              <w:jc w:val="left"/>
              <w:rPr>
                <w:rFonts w:ascii="Calibri" w:hAnsi="Calibri"/>
                <w:b/>
                <w:bCs/>
                <w:i/>
                <w:iCs/>
                <w:sz w:val="16"/>
                <w:szCs w:val="16"/>
              </w:rPr>
            </w:pPr>
            <w:r w:rsidRPr="00651E63">
              <w:rPr>
                <w:rFonts w:ascii="Calibri" w:hAnsi="Calibri"/>
                <w:b/>
                <w:bCs/>
                <w:i/>
                <w:iCs/>
                <w:sz w:val="16"/>
                <w:szCs w:val="16"/>
              </w:rPr>
              <w:t> </w:t>
            </w:r>
          </w:p>
        </w:tc>
      </w:tr>
    </w:tbl>
    <w:p w:rsidR="008B5A35" w:rsidRPr="00125192" w:rsidRDefault="008B5A35" w:rsidP="00125192">
      <w:pPr>
        <w:jc w:val="center"/>
        <w:rPr>
          <w:rFonts w:asciiTheme="minorHAnsi" w:eastAsia="Calibri" w:hAnsiTheme="minorHAnsi"/>
          <w:b/>
          <w:color w:val="auto"/>
          <w:sz w:val="20"/>
          <w:szCs w:val="20"/>
          <w:lang w:val="sr-Cyrl-BA" w:eastAsia="en-US"/>
        </w:rPr>
      </w:pPr>
      <w:bookmarkStart w:id="17" w:name="_Toc135292180"/>
    </w:p>
    <w:bookmarkEnd w:id="17"/>
    <w:p w:rsidR="00125192" w:rsidRDefault="00125192"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D57537" w:rsidRDefault="00D57537"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D57537" w:rsidRDefault="00D57537"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D57537" w:rsidRDefault="00D57537"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D57537" w:rsidRDefault="00D57537"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D57537" w:rsidRDefault="00D57537"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D57537" w:rsidRDefault="00D57537"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90194B" w:rsidRDefault="0090194B" w:rsidP="0029169D">
      <w:pPr>
        <w:spacing w:after="360" w:line="0" w:lineRule="atLeast"/>
        <w:ind w:left="431" w:hanging="431"/>
        <w:outlineLvl w:val="0"/>
        <w:rPr>
          <w:rFonts w:asciiTheme="minorHAnsi" w:hAnsiTheme="minorHAnsi"/>
          <w:b/>
          <w:caps/>
          <w:color w:val="auto"/>
          <w:kern w:val="36"/>
          <w:sz w:val="20"/>
          <w:szCs w:val="20"/>
          <w:lang w:val="sr-Cyrl-RS" w:eastAsia="sr-Latn-CS"/>
        </w:rPr>
      </w:pPr>
    </w:p>
    <w:p w:rsidR="0029169D" w:rsidRPr="0029169D" w:rsidRDefault="0029169D" w:rsidP="0029169D">
      <w:pPr>
        <w:spacing w:after="360" w:line="0" w:lineRule="atLeast"/>
        <w:ind w:left="431" w:hanging="431"/>
        <w:outlineLvl w:val="0"/>
        <w:rPr>
          <w:rFonts w:asciiTheme="minorHAnsi" w:hAnsiTheme="minorHAnsi"/>
          <w:b/>
          <w:caps/>
          <w:color w:val="auto"/>
          <w:kern w:val="36"/>
          <w:sz w:val="20"/>
          <w:szCs w:val="20"/>
          <w:lang w:val="sr-Cyrl-RS" w:eastAsia="sr-Latn-CS"/>
        </w:rPr>
      </w:pPr>
      <w:r w:rsidRPr="0029169D">
        <w:rPr>
          <w:rFonts w:asciiTheme="minorHAnsi" w:hAnsiTheme="minorHAnsi"/>
          <w:b/>
          <w:caps/>
          <w:color w:val="auto"/>
          <w:kern w:val="36"/>
          <w:sz w:val="20"/>
          <w:szCs w:val="20"/>
          <w:lang w:val="sr-Cyrl-RS" w:eastAsia="sr-Latn-CS"/>
        </w:rPr>
        <w:t xml:space="preserve">4. </w:t>
      </w:r>
      <w:r w:rsidRPr="0029169D">
        <w:rPr>
          <w:rFonts w:asciiTheme="minorHAnsi" w:hAnsiTheme="minorHAnsi"/>
          <w:b/>
          <w:caps/>
          <w:color w:val="auto"/>
          <w:kern w:val="36"/>
          <w:sz w:val="20"/>
          <w:szCs w:val="20"/>
          <w:lang w:val="sr-Cyrl-CS" w:eastAsia="sr-Latn-CS"/>
        </w:rPr>
        <w:t xml:space="preserve">АНАЛИЗА ОСТВАРЕЊА ПЛАНА ИНВЕСТИЦИЈА </w:t>
      </w:r>
      <w:r w:rsidRPr="0029169D">
        <w:rPr>
          <w:rFonts w:asciiTheme="minorHAnsi" w:hAnsiTheme="minorHAnsi"/>
          <w:b/>
          <w:caps/>
          <w:color w:val="auto"/>
          <w:kern w:val="36"/>
          <w:sz w:val="20"/>
          <w:szCs w:val="20"/>
          <w:lang w:val="sr-Cyrl-RS" w:eastAsia="sr-Latn-CS"/>
        </w:rPr>
        <w:t xml:space="preserve">У </w:t>
      </w:r>
      <w:r w:rsidRPr="0029169D">
        <w:rPr>
          <w:rFonts w:asciiTheme="minorHAnsi" w:hAnsiTheme="minorHAnsi"/>
          <w:b/>
          <w:caps/>
          <w:color w:val="auto"/>
          <w:kern w:val="36"/>
          <w:sz w:val="20"/>
          <w:szCs w:val="20"/>
          <w:lang w:val="sr-Cyrl-CS" w:eastAsia="sr-Latn-CS"/>
        </w:rPr>
        <w:t>202</w:t>
      </w:r>
      <w:r w:rsidRPr="0029169D">
        <w:rPr>
          <w:rFonts w:asciiTheme="minorHAnsi" w:hAnsiTheme="minorHAnsi"/>
          <w:b/>
          <w:caps/>
          <w:color w:val="auto"/>
          <w:kern w:val="36"/>
          <w:sz w:val="20"/>
          <w:szCs w:val="20"/>
          <w:lang w:val="sr-Cyrl-RS" w:eastAsia="sr-Latn-CS"/>
        </w:rPr>
        <w:t>4</w:t>
      </w:r>
      <w:r w:rsidRPr="0029169D">
        <w:rPr>
          <w:rFonts w:asciiTheme="minorHAnsi" w:hAnsiTheme="minorHAnsi"/>
          <w:b/>
          <w:caps/>
          <w:color w:val="auto"/>
          <w:kern w:val="36"/>
          <w:sz w:val="20"/>
          <w:szCs w:val="20"/>
          <w:lang w:val="sr-Cyrl-CS" w:eastAsia="sr-Latn-CS"/>
        </w:rPr>
        <w:t>. ГОДИН</w:t>
      </w:r>
      <w:r w:rsidRPr="0029169D">
        <w:rPr>
          <w:rFonts w:asciiTheme="minorHAnsi" w:hAnsiTheme="minorHAnsi"/>
          <w:b/>
          <w:caps/>
          <w:color w:val="auto"/>
          <w:kern w:val="36"/>
          <w:sz w:val="20"/>
          <w:szCs w:val="20"/>
          <w:lang w:val="sr-Cyrl-RS" w:eastAsia="sr-Latn-CS"/>
        </w:rPr>
        <w:t>И</w:t>
      </w:r>
    </w:p>
    <w:p w:rsidR="0029169D" w:rsidRDefault="0029169D" w:rsidP="0029169D">
      <w:pPr>
        <w:rPr>
          <w:rFonts w:ascii="Calibri" w:hAnsi="Calibri"/>
          <w:bCs/>
          <w:sz w:val="20"/>
          <w:szCs w:val="20"/>
          <w:lang w:val="sr-Cyrl-RS"/>
        </w:rPr>
      </w:pPr>
      <w:r w:rsidRPr="0029169D">
        <w:rPr>
          <w:rFonts w:asciiTheme="minorHAnsi" w:hAnsiTheme="minorHAnsi"/>
          <w:sz w:val="20"/>
          <w:szCs w:val="20"/>
          <w:lang w:val="sr-Cyrl-CS" w:eastAsia="sr-Cyrl-CS"/>
        </w:rPr>
        <w:t xml:space="preserve">План инвестиција је </w:t>
      </w:r>
      <w:r w:rsidRPr="0029169D">
        <w:rPr>
          <w:rFonts w:asciiTheme="minorHAnsi" w:hAnsiTheme="minorHAnsi"/>
          <w:sz w:val="20"/>
          <w:szCs w:val="20"/>
          <w:lang w:val="sr-Cyrl-BA" w:eastAsia="sr-Cyrl-CS"/>
        </w:rPr>
        <w:t>с</w:t>
      </w:r>
      <w:r w:rsidRPr="0029169D">
        <w:rPr>
          <w:rFonts w:asciiTheme="minorHAnsi" w:hAnsiTheme="minorHAnsi"/>
          <w:sz w:val="20"/>
          <w:szCs w:val="20"/>
          <w:lang w:val="sr-Cyrl-CS" w:eastAsia="sr-Cyrl-CS"/>
        </w:rPr>
        <w:t xml:space="preserve">аставни дио плана јавних набавки за 2024. годину и ребаланса плана јавних набавки, а истим су за 2024. годину планиране инвестиције у износу од 33.200,00 КМ. Током године су реализоване инвестиције у износу од </w:t>
      </w:r>
      <w:r w:rsidRPr="0029169D">
        <w:rPr>
          <w:rFonts w:ascii="Calibri" w:hAnsi="Calibri"/>
          <w:bCs/>
          <w:sz w:val="20"/>
          <w:szCs w:val="20"/>
        </w:rPr>
        <w:t>7.179,31</w:t>
      </w:r>
      <w:r w:rsidRPr="0029169D">
        <w:rPr>
          <w:rFonts w:ascii="Calibri" w:hAnsi="Calibri"/>
          <w:bCs/>
          <w:sz w:val="20"/>
          <w:szCs w:val="20"/>
          <w:lang w:val="sr-Cyrl-RS"/>
        </w:rPr>
        <w:t xml:space="preserve"> КМ, што је 21,6% планираног износа.</w:t>
      </w:r>
    </w:p>
    <w:p w:rsidR="0090194B" w:rsidRPr="0029169D" w:rsidRDefault="0090194B" w:rsidP="0029169D">
      <w:pPr>
        <w:rPr>
          <w:rFonts w:ascii="Calibri" w:hAnsi="Calibri"/>
          <w:bCs/>
          <w:sz w:val="20"/>
          <w:szCs w:val="20"/>
          <w:lang w:val="sr-Cyrl-RS"/>
        </w:rPr>
      </w:pPr>
    </w:p>
    <w:p w:rsidR="0029169D" w:rsidRPr="0029169D" w:rsidRDefault="0029169D" w:rsidP="0029169D">
      <w:pPr>
        <w:rPr>
          <w:rFonts w:asciiTheme="minorHAnsi" w:hAnsiTheme="minorHAnsi"/>
          <w:sz w:val="20"/>
          <w:szCs w:val="20"/>
          <w:lang w:val="sr-Cyrl-CS" w:eastAsia="sr-Cyrl-CS"/>
        </w:rPr>
      </w:pPr>
      <w:r w:rsidRPr="0029169D">
        <w:rPr>
          <w:rFonts w:asciiTheme="minorHAnsi" w:hAnsiTheme="minorHAnsi"/>
          <w:sz w:val="20"/>
          <w:szCs w:val="20"/>
          <w:lang w:val="sr-Cyrl-CS" w:eastAsia="sr-Cyrl-CS"/>
        </w:rPr>
        <w:t xml:space="preserve">Извршено је улагање у рачунарску опрему у износу од 6.291,10 КМ и антивирус лиценце у износу од 888,21 КМ. Планиране активности које се тичу надоградње софтвера гаранција и адаптације пословног простора нису реализоване у посматраној години. </w:t>
      </w:r>
    </w:p>
    <w:p w:rsidR="0029169D" w:rsidRPr="0029169D" w:rsidRDefault="0029169D" w:rsidP="0029169D">
      <w:pPr>
        <w:rPr>
          <w:rFonts w:asciiTheme="minorHAnsi" w:hAnsiTheme="minorHAnsi"/>
          <w:sz w:val="20"/>
          <w:szCs w:val="20"/>
          <w:lang w:val="sr-Cyrl-BA" w:eastAsia="sr-Cyrl-CS"/>
        </w:rPr>
      </w:pPr>
    </w:p>
    <w:p w:rsidR="0029169D" w:rsidRPr="0029169D" w:rsidRDefault="0029169D" w:rsidP="0029169D">
      <w:pPr>
        <w:jc w:val="center"/>
        <w:rPr>
          <w:rFonts w:asciiTheme="minorHAnsi" w:hAnsiTheme="minorHAnsi"/>
          <w:b/>
          <w:sz w:val="20"/>
          <w:szCs w:val="20"/>
          <w:lang w:val="sr-Cyrl-BA" w:eastAsia="sr-Cyrl-CS"/>
        </w:rPr>
      </w:pPr>
      <w:r w:rsidRPr="0029169D">
        <w:rPr>
          <w:rFonts w:asciiTheme="minorHAnsi" w:hAnsiTheme="minorHAnsi"/>
          <w:b/>
          <w:sz w:val="20"/>
          <w:szCs w:val="20"/>
          <w:lang w:val="sr-Cyrl-BA" w:eastAsia="sr-Cyrl-CS"/>
        </w:rPr>
        <w:t>Преглед реализованих инвестиција у 2024. години</w:t>
      </w:r>
    </w:p>
    <w:p w:rsidR="0029169D" w:rsidRPr="0029169D" w:rsidRDefault="0029169D" w:rsidP="0029169D">
      <w:pPr>
        <w:rPr>
          <w:rFonts w:asciiTheme="minorHAnsi" w:hAnsiTheme="minorHAnsi"/>
          <w:sz w:val="20"/>
          <w:szCs w:val="20"/>
          <w:lang w:val="sr-Cyrl-BA" w:eastAsia="sr-Cyrl-CS"/>
        </w:rPr>
      </w:pPr>
    </w:p>
    <w:p w:rsidR="0029169D" w:rsidRPr="0029169D" w:rsidRDefault="0029169D" w:rsidP="0029169D">
      <w:pPr>
        <w:ind w:left="7799"/>
        <w:rPr>
          <w:rFonts w:asciiTheme="minorHAnsi" w:hAnsiTheme="minorHAnsi"/>
          <w:b/>
          <w:sz w:val="20"/>
          <w:szCs w:val="20"/>
          <w:lang w:val="sr-Cyrl-BA" w:eastAsia="sr-Cyrl-CS"/>
        </w:rPr>
      </w:pPr>
      <w:r w:rsidRPr="0029169D">
        <w:rPr>
          <w:rFonts w:asciiTheme="minorHAnsi" w:hAnsiTheme="minorHAnsi"/>
          <w:b/>
          <w:sz w:val="20"/>
          <w:szCs w:val="20"/>
          <w:lang w:val="sr-Cyrl-BA" w:eastAsia="sr-Cyrl-CS"/>
        </w:rPr>
        <w:t xml:space="preserve">  Табела </w:t>
      </w:r>
      <w:r w:rsidR="00202D09">
        <w:rPr>
          <w:rFonts w:asciiTheme="minorHAnsi" w:hAnsiTheme="minorHAnsi"/>
          <w:b/>
          <w:sz w:val="20"/>
          <w:szCs w:val="20"/>
          <w:lang w:val="sr-Cyrl-BA" w:eastAsia="sr-Cyrl-CS"/>
        </w:rPr>
        <w:t>25</w:t>
      </w:r>
    </w:p>
    <w:tbl>
      <w:tblPr>
        <w:tblW w:w="8789" w:type="dxa"/>
        <w:tblInd w:w="108" w:type="dxa"/>
        <w:tblLook w:val="04A0" w:firstRow="1" w:lastRow="0" w:firstColumn="1" w:lastColumn="0" w:noHBand="0" w:noVBand="1"/>
      </w:tblPr>
      <w:tblGrid>
        <w:gridCol w:w="1134"/>
        <w:gridCol w:w="2977"/>
        <w:gridCol w:w="1701"/>
        <w:gridCol w:w="1559"/>
        <w:gridCol w:w="1418"/>
      </w:tblGrid>
      <w:tr w:rsidR="0029169D" w:rsidRPr="0029169D" w:rsidTr="00832469">
        <w:trPr>
          <w:trHeight w:val="765"/>
        </w:trPr>
        <w:tc>
          <w:tcPr>
            <w:tcW w:w="1134" w:type="dxa"/>
            <w:tcBorders>
              <w:top w:val="single" w:sz="8" w:space="0" w:color="auto"/>
              <w:left w:val="single" w:sz="8" w:space="0" w:color="auto"/>
              <w:bottom w:val="single" w:sz="4" w:space="0" w:color="auto"/>
              <w:right w:val="single" w:sz="4" w:space="0" w:color="auto"/>
            </w:tcBorders>
            <w:shd w:val="clear" w:color="000000" w:fill="8DB4E2"/>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Редни број</w:t>
            </w:r>
          </w:p>
        </w:tc>
        <w:tc>
          <w:tcPr>
            <w:tcW w:w="2977" w:type="dxa"/>
            <w:tcBorders>
              <w:top w:val="single" w:sz="8" w:space="0" w:color="auto"/>
              <w:left w:val="nil"/>
              <w:bottom w:val="single" w:sz="4" w:space="0" w:color="auto"/>
              <w:right w:val="single" w:sz="4" w:space="0" w:color="auto"/>
            </w:tcBorders>
            <w:shd w:val="clear" w:color="000000" w:fill="8DB4E2"/>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 xml:space="preserve">Инвестиције </w:t>
            </w:r>
          </w:p>
        </w:tc>
        <w:tc>
          <w:tcPr>
            <w:tcW w:w="1701" w:type="dxa"/>
            <w:tcBorders>
              <w:top w:val="single" w:sz="8" w:space="0" w:color="auto"/>
              <w:left w:val="nil"/>
              <w:bottom w:val="single" w:sz="4" w:space="0" w:color="auto"/>
              <w:right w:val="single" w:sz="4" w:space="0" w:color="auto"/>
            </w:tcBorders>
            <w:shd w:val="clear" w:color="000000" w:fill="8DB4E2"/>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Планирано у 2024. години</w:t>
            </w:r>
          </w:p>
        </w:tc>
        <w:tc>
          <w:tcPr>
            <w:tcW w:w="1559" w:type="dxa"/>
            <w:tcBorders>
              <w:top w:val="single" w:sz="8" w:space="0" w:color="auto"/>
              <w:left w:val="nil"/>
              <w:bottom w:val="single" w:sz="4" w:space="0" w:color="auto"/>
              <w:right w:val="single" w:sz="4" w:space="0" w:color="auto"/>
            </w:tcBorders>
            <w:shd w:val="clear" w:color="000000" w:fill="8DB4E2"/>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 xml:space="preserve">Остварено у 2024. години </w:t>
            </w:r>
          </w:p>
        </w:tc>
        <w:tc>
          <w:tcPr>
            <w:tcW w:w="1418" w:type="dxa"/>
            <w:tcBorders>
              <w:top w:val="single" w:sz="8" w:space="0" w:color="auto"/>
              <w:left w:val="nil"/>
              <w:bottom w:val="single" w:sz="4" w:space="0" w:color="auto"/>
              <w:right w:val="single" w:sz="8" w:space="0" w:color="auto"/>
            </w:tcBorders>
            <w:shd w:val="clear" w:color="000000" w:fill="8DB4E2"/>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Индекс</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1.</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b/>
                <w:bCs/>
                <w:color w:val="auto"/>
                <w:sz w:val="20"/>
                <w:szCs w:val="20"/>
              </w:rPr>
            </w:pPr>
            <w:r w:rsidRPr="0029169D">
              <w:rPr>
                <w:rFonts w:ascii="Calibri" w:hAnsi="Calibri"/>
                <w:b/>
                <w:bCs/>
                <w:color w:val="auto"/>
                <w:sz w:val="20"/>
                <w:szCs w:val="20"/>
              </w:rPr>
              <w:t>Пословни простор и инвентар</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10.000,00</w:t>
            </w:r>
          </w:p>
        </w:tc>
        <w:tc>
          <w:tcPr>
            <w:tcW w:w="1559"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0,00</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1.1.</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color w:val="auto"/>
                <w:sz w:val="20"/>
                <w:szCs w:val="20"/>
              </w:rPr>
            </w:pPr>
            <w:r w:rsidRPr="0029169D">
              <w:rPr>
                <w:rFonts w:ascii="Calibri" w:hAnsi="Calibri"/>
                <w:color w:val="auto"/>
                <w:sz w:val="20"/>
                <w:szCs w:val="20"/>
              </w:rPr>
              <w:t>Адаптација пословног простора</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5.000,00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0,00</w:t>
            </w:r>
          </w:p>
        </w:tc>
      </w:tr>
      <w:tr w:rsidR="0029169D" w:rsidRPr="0029169D" w:rsidTr="00832469">
        <w:trPr>
          <w:trHeight w:val="34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1.2.</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color w:val="auto"/>
                <w:sz w:val="20"/>
                <w:szCs w:val="20"/>
              </w:rPr>
            </w:pPr>
            <w:r w:rsidRPr="0029169D">
              <w:rPr>
                <w:rFonts w:ascii="Calibri" w:hAnsi="Calibri"/>
                <w:color w:val="auto"/>
                <w:sz w:val="20"/>
                <w:szCs w:val="20"/>
              </w:rPr>
              <w:t>Канцеларијски намјештај и опрема</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5.000,00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0,00</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2.</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b/>
                <w:bCs/>
                <w:color w:val="auto"/>
                <w:sz w:val="20"/>
                <w:szCs w:val="20"/>
              </w:rPr>
            </w:pPr>
            <w:r w:rsidRPr="0029169D">
              <w:rPr>
                <w:rFonts w:ascii="Calibri" w:hAnsi="Calibri"/>
                <w:b/>
                <w:bCs/>
                <w:color w:val="auto"/>
                <w:sz w:val="20"/>
                <w:szCs w:val="20"/>
              </w:rPr>
              <w:t>Рачунарска и остала опрема</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13.000,00</w:t>
            </w:r>
          </w:p>
        </w:tc>
        <w:tc>
          <w:tcPr>
            <w:tcW w:w="1559"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b/>
                <w:bCs/>
                <w:color w:val="auto"/>
                <w:sz w:val="20"/>
                <w:szCs w:val="20"/>
              </w:rPr>
            </w:pPr>
            <w:r w:rsidRPr="0029169D">
              <w:rPr>
                <w:rFonts w:ascii="Calibri" w:hAnsi="Calibri"/>
                <w:b/>
                <w:bCs/>
                <w:color w:val="auto"/>
                <w:sz w:val="20"/>
                <w:szCs w:val="20"/>
              </w:rPr>
              <w:t>6.291,10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48,39</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2.1.</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color w:val="auto"/>
                <w:sz w:val="20"/>
                <w:szCs w:val="20"/>
              </w:rPr>
            </w:pPr>
            <w:r w:rsidRPr="0029169D">
              <w:rPr>
                <w:rFonts w:ascii="Calibri" w:hAnsi="Calibri"/>
                <w:color w:val="auto"/>
                <w:sz w:val="20"/>
                <w:szCs w:val="20"/>
              </w:rPr>
              <w:t>Рачунарска опрема</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10.000,00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6.291,10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62,91</w:t>
            </w:r>
          </w:p>
        </w:tc>
      </w:tr>
      <w:tr w:rsidR="0029169D" w:rsidRPr="0029169D" w:rsidTr="00832469">
        <w:trPr>
          <w:trHeight w:val="34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2.2.</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color w:val="auto"/>
                <w:sz w:val="20"/>
                <w:szCs w:val="20"/>
              </w:rPr>
            </w:pPr>
            <w:r w:rsidRPr="0029169D">
              <w:rPr>
                <w:rFonts w:ascii="Calibri" w:hAnsi="Calibri"/>
                <w:color w:val="auto"/>
                <w:sz w:val="20"/>
                <w:szCs w:val="20"/>
              </w:rPr>
              <w:t>Остало</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3.000,00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0,00</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3.</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rPr>
                <w:rFonts w:ascii="Calibri" w:hAnsi="Calibri"/>
                <w:b/>
                <w:bCs/>
                <w:color w:val="auto"/>
                <w:sz w:val="20"/>
                <w:szCs w:val="20"/>
              </w:rPr>
            </w:pPr>
            <w:r w:rsidRPr="0029169D">
              <w:rPr>
                <w:rFonts w:ascii="Calibri" w:hAnsi="Calibri"/>
                <w:b/>
                <w:bCs/>
                <w:color w:val="auto"/>
                <w:sz w:val="20"/>
                <w:szCs w:val="20"/>
              </w:rPr>
              <w:t xml:space="preserve">Програмска подршка </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10.200,00</w:t>
            </w:r>
          </w:p>
        </w:tc>
        <w:tc>
          <w:tcPr>
            <w:tcW w:w="1559"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b/>
                <w:bCs/>
                <w:color w:val="auto"/>
                <w:sz w:val="20"/>
                <w:szCs w:val="20"/>
              </w:rPr>
            </w:pPr>
            <w:r w:rsidRPr="0029169D">
              <w:rPr>
                <w:rFonts w:ascii="Calibri" w:hAnsi="Calibri"/>
                <w:b/>
                <w:bCs/>
                <w:color w:val="auto"/>
                <w:sz w:val="20"/>
                <w:szCs w:val="20"/>
              </w:rPr>
              <w:t>888,21</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8,71</w:t>
            </w:r>
          </w:p>
        </w:tc>
      </w:tr>
      <w:tr w:rsidR="0029169D" w:rsidRPr="0029169D" w:rsidTr="00832469">
        <w:trPr>
          <w:trHeight w:val="900"/>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3.1.</w:t>
            </w:r>
          </w:p>
        </w:tc>
        <w:tc>
          <w:tcPr>
            <w:tcW w:w="2977"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left"/>
              <w:rPr>
                <w:rFonts w:ascii="Calibri" w:hAnsi="Calibri"/>
                <w:sz w:val="20"/>
                <w:szCs w:val="20"/>
              </w:rPr>
            </w:pPr>
            <w:r w:rsidRPr="0029169D">
              <w:rPr>
                <w:rFonts w:ascii="Calibri" w:hAnsi="Calibri"/>
                <w:sz w:val="20"/>
                <w:szCs w:val="20"/>
              </w:rPr>
              <w:t xml:space="preserve">Услуге дораде апликативног софтвера гаранција </w:t>
            </w:r>
            <w:r w:rsidRPr="0029169D">
              <w:rPr>
                <w:rFonts w:ascii="Calibri" w:hAnsi="Calibri"/>
                <w:sz w:val="20"/>
                <w:szCs w:val="20"/>
              </w:rPr>
              <w:br/>
              <w:t>Надоградња софтвера гаранција модулом гаранција за ХОВ</w:t>
            </w:r>
            <w:r w:rsidRPr="0029169D">
              <w:rPr>
                <w:rFonts w:ascii="Calibri" w:hAnsi="Calibri"/>
                <w:sz w:val="20"/>
                <w:szCs w:val="20"/>
              </w:rPr>
              <w:br/>
              <w:t>Израда софтвера  за протокол и управљање документационом грађом</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8.000,00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0,00</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3.2.</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left"/>
              <w:rPr>
                <w:rFonts w:ascii="Calibri" w:hAnsi="Calibri"/>
                <w:color w:val="auto"/>
                <w:sz w:val="20"/>
                <w:szCs w:val="20"/>
              </w:rPr>
            </w:pPr>
            <w:r w:rsidRPr="0029169D">
              <w:rPr>
                <w:rFonts w:ascii="Calibri" w:hAnsi="Calibri"/>
                <w:color w:val="auto"/>
                <w:sz w:val="20"/>
                <w:szCs w:val="20"/>
              </w:rPr>
              <w:t>Антивирус лиценце</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1.000,00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888,21</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88,82</w:t>
            </w:r>
          </w:p>
        </w:tc>
      </w:tr>
      <w:tr w:rsidR="0029169D" w:rsidRPr="0029169D" w:rsidTr="00832469">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3.3.</w:t>
            </w:r>
          </w:p>
        </w:tc>
        <w:tc>
          <w:tcPr>
            <w:tcW w:w="2977"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left"/>
              <w:rPr>
                <w:rFonts w:ascii="Calibri" w:hAnsi="Calibri"/>
                <w:color w:val="auto"/>
                <w:sz w:val="20"/>
                <w:szCs w:val="20"/>
              </w:rPr>
            </w:pPr>
            <w:r w:rsidRPr="0029169D">
              <w:rPr>
                <w:rFonts w:ascii="Calibri" w:hAnsi="Calibri"/>
                <w:color w:val="auto"/>
                <w:sz w:val="20"/>
                <w:szCs w:val="20"/>
              </w:rPr>
              <w:t xml:space="preserve">SQL сервер лиценца </w:t>
            </w:r>
          </w:p>
        </w:tc>
        <w:tc>
          <w:tcPr>
            <w:tcW w:w="1701" w:type="dxa"/>
            <w:tcBorders>
              <w:top w:val="nil"/>
              <w:left w:val="nil"/>
              <w:bottom w:val="single" w:sz="4" w:space="0" w:color="auto"/>
              <w:right w:val="single" w:sz="4" w:space="0" w:color="auto"/>
            </w:tcBorders>
            <w:shd w:val="clear" w:color="auto" w:fill="auto"/>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1.200,00</w:t>
            </w:r>
          </w:p>
        </w:tc>
        <w:tc>
          <w:tcPr>
            <w:tcW w:w="1559" w:type="dxa"/>
            <w:tcBorders>
              <w:top w:val="nil"/>
              <w:left w:val="nil"/>
              <w:bottom w:val="single" w:sz="4" w:space="0" w:color="auto"/>
              <w:right w:val="single" w:sz="4" w:space="0" w:color="auto"/>
            </w:tcBorders>
            <w:shd w:val="clear" w:color="auto" w:fill="auto"/>
            <w:noWrap/>
            <w:vAlign w:val="center"/>
            <w:hideMark/>
          </w:tcPr>
          <w:p w:rsidR="0029169D" w:rsidRPr="0029169D" w:rsidRDefault="0029169D" w:rsidP="0029169D">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29169D" w:rsidRPr="0029169D" w:rsidRDefault="0029169D" w:rsidP="0029169D">
            <w:pPr>
              <w:jc w:val="right"/>
              <w:rPr>
                <w:rFonts w:ascii="Calibri" w:hAnsi="Calibri"/>
                <w:sz w:val="20"/>
                <w:szCs w:val="20"/>
              </w:rPr>
            </w:pPr>
            <w:r w:rsidRPr="0029169D">
              <w:rPr>
                <w:rFonts w:ascii="Calibri" w:hAnsi="Calibri"/>
                <w:sz w:val="20"/>
                <w:szCs w:val="20"/>
              </w:rPr>
              <w:t>0,00</w:t>
            </w:r>
          </w:p>
        </w:tc>
      </w:tr>
      <w:tr w:rsidR="0029169D" w:rsidRPr="0029169D" w:rsidTr="00832469">
        <w:trPr>
          <w:trHeight w:val="330"/>
        </w:trPr>
        <w:tc>
          <w:tcPr>
            <w:tcW w:w="4111" w:type="dxa"/>
            <w:gridSpan w:val="2"/>
            <w:tcBorders>
              <w:top w:val="single" w:sz="4" w:space="0" w:color="auto"/>
              <w:left w:val="single" w:sz="8" w:space="0" w:color="auto"/>
              <w:bottom w:val="single" w:sz="8" w:space="0" w:color="auto"/>
              <w:right w:val="single" w:sz="4" w:space="0" w:color="auto"/>
            </w:tcBorders>
            <w:shd w:val="clear" w:color="000000" w:fill="8DB4E2"/>
            <w:noWrap/>
            <w:vAlign w:val="center"/>
            <w:hideMark/>
          </w:tcPr>
          <w:p w:rsidR="0029169D" w:rsidRPr="0029169D" w:rsidRDefault="0029169D" w:rsidP="0029169D">
            <w:pPr>
              <w:jc w:val="center"/>
              <w:rPr>
                <w:rFonts w:ascii="Calibri" w:hAnsi="Calibri"/>
                <w:b/>
                <w:bCs/>
                <w:color w:val="auto"/>
                <w:sz w:val="20"/>
                <w:szCs w:val="20"/>
              </w:rPr>
            </w:pPr>
            <w:r w:rsidRPr="0029169D">
              <w:rPr>
                <w:rFonts w:ascii="Calibri" w:hAnsi="Calibri"/>
                <w:b/>
                <w:bCs/>
                <w:color w:val="auto"/>
                <w:sz w:val="20"/>
                <w:szCs w:val="20"/>
              </w:rPr>
              <w:t>УКУПНО</w:t>
            </w:r>
          </w:p>
        </w:tc>
        <w:tc>
          <w:tcPr>
            <w:tcW w:w="1701" w:type="dxa"/>
            <w:tcBorders>
              <w:top w:val="nil"/>
              <w:left w:val="nil"/>
              <w:bottom w:val="single" w:sz="8" w:space="0" w:color="auto"/>
              <w:right w:val="single" w:sz="4" w:space="0" w:color="auto"/>
            </w:tcBorders>
            <w:shd w:val="clear" w:color="000000" w:fill="8DB4E2"/>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33.200,00</w:t>
            </w:r>
          </w:p>
        </w:tc>
        <w:tc>
          <w:tcPr>
            <w:tcW w:w="1559" w:type="dxa"/>
            <w:tcBorders>
              <w:top w:val="nil"/>
              <w:left w:val="nil"/>
              <w:bottom w:val="single" w:sz="8" w:space="0" w:color="auto"/>
              <w:right w:val="single" w:sz="4" w:space="0" w:color="auto"/>
            </w:tcBorders>
            <w:shd w:val="clear" w:color="000000" w:fill="8DB4E2"/>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7.179,31</w:t>
            </w:r>
          </w:p>
        </w:tc>
        <w:tc>
          <w:tcPr>
            <w:tcW w:w="1418" w:type="dxa"/>
            <w:tcBorders>
              <w:top w:val="nil"/>
              <w:left w:val="nil"/>
              <w:bottom w:val="single" w:sz="8" w:space="0" w:color="auto"/>
              <w:right w:val="single" w:sz="8" w:space="0" w:color="auto"/>
            </w:tcBorders>
            <w:shd w:val="clear" w:color="000000" w:fill="8DB4E2"/>
            <w:noWrap/>
            <w:vAlign w:val="center"/>
            <w:hideMark/>
          </w:tcPr>
          <w:p w:rsidR="0029169D" w:rsidRPr="0029169D" w:rsidRDefault="0029169D" w:rsidP="0029169D">
            <w:pPr>
              <w:jc w:val="right"/>
              <w:rPr>
                <w:rFonts w:ascii="Calibri" w:hAnsi="Calibri"/>
                <w:b/>
                <w:bCs/>
                <w:sz w:val="20"/>
                <w:szCs w:val="20"/>
              </w:rPr>
            </w:pPr>
            <w:r w:rsidRPr="0029169D">
              <w:rPr>
                <w:rFonts w:ascii="Calibri" w:hAnsi="Calibri"/>
                <w:b/>
                <w:bCs/>
                <w:sz w:val="20"/>
                <w:szCs w:val="20"/>
              </w:rPr>
              <w:t>21,62</w:t>
            </w:r>
          </w:p>
        </w:tc>
      </w:tr>
    </w:tbl>
    <w:p w:rsidR="0029169D" w:rsidRPr="0029169D" w:rsidRDefault="0029169D" w:rsidP="0029169D">
      <w:pPr>
        <w:spacing w:after="200" w:line="276" w:lineRule="auto"/>
        <w:jc w:val="left"/>
        <w:rPr>
          <w:rFonts w:asciiTheme="minorHAnsi" w:hAnsiTheme="minorHAnsi"/>
          <w:sz w:val="20"/>
          <w:szCs w:val="20"/>
          <w:lang w:val="sr-Cyrl-BA" w:eastAsia="sr-Cyrl-CS"/>
        </w:rPr>
      </w:pPr>
      <w:r w:rsidRPr="0029169D">
        <w:rPr>
          <w:rFonts w:asciiTheme="minorHAnsi" w:hAnsiTheme="minorHAnsi"/>
          <w:sz w:val="20"/>
          <w:szCs w:val="20"/>
          <w:lang w:val="sr-Cyrl-BA" w:eastAsia="sr-Cyrl-CS"/>
        </w:rPr>
        <w:br w:type="page"/>
      </w:r>
    </w:p>
    <w:p w:rsidR="001538EF" w:rsidRPr="005767EF" w:rsidRDefault="001538EF" w:rsidP="001538EF">
      <w:pPr>
        <w:rPr>
          <w:rFonts w:asciiTheme="minorHAnsi" w:hAnsiTheme="minorHAnsi"/>
          <w:sz w:val="20"/>
          <w:szCs w:val="20"/>
          <w:lang w:val="sr-Cyrl-BA" w:eastAsia="sr-Cyrl-CS"/>
        </w:rPr>
      </w:pPr>
    </w:p>
    <w:p w:rsidR="001538EF" w:rsidRPr="00FF183D" w:rsidRDefault="001538EF" w:rsidP="005B6F87">
      <w:pPr>
        <w:pStyle w:val="Heading1"/>
        <w:numPr>
          <w:ilvl w:val="0"/>
          <w:numId w:val="0"/>
        </w:numPr>
        <w:ind w:left="431"/>
        <w:jc w:val="center"/>
        <w:rPr>
          <w:rFonts w:asciiTheme="minorHAnsi" w:hAnsiTheme="minorHAnsi"/>
          <w:lang w:val="sr-Cyrl-BA"/>
        </w:rPr>
      </w:pPr>
      <w:bookmarkStart w:id="18" w:name="_Toc135292181"/>
      <w:r w:rsidRPr="00FF183D">
        <w:rPr>
          <w:rFonts w:asciiTheme="minorHAnsi" w:hAnsiTheme="minorHAnsi"/>
          <w:lang w:val="sr-Cyrl-BA"/>
        </w:rPr>
        <w:t>ЗАКЉУЧАК</w:t>
      </w:r>
      <w:bookmarkEnd w:id="18"/>
    </w:p>
    <w:p w:rsidR="00DD4683" w:rsidRDefault="00DD4683" w:rsidP="00DD5804">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 xml:space="preserve">Гарантни </w:t>
      </w:r>
      <w:r w:rsidRPr="008D7B5A">
        <w:rPr>
          <w:rFonts w:asciiTheme="minorHAnsi" w:hAnsiTheme="minorHAnsi"/>
          <w:color w:val="000000" w:themeColor="text1"/>
          <w:sz w:val="20"/>
          <w:szCs w:val="20"/>
          <w:lang w:val="sr-Cyrl-BA"/>
        </w:rPr>
        <w:t>фонд</w:t>
      </w:r>
      <w:r>
        <w:rPr>
          <w:rFonts w:asciiTheme="minorHAnsi" w:hAnsiTheme="minorHAnsi"/>
          <w:color w:val="000000" w:themeColor="text1"/>
          <w:sz w:val="20"/>
          <w:szCs w:val="20"/>
          <w:lang w:val="sr-Cyrl-BA"/>
        </w:rPr>
        <w:t xml:space="preserve"> Републике Српске је током</w:t>
      </w:r>
      <w:r w:rsidRPr="008D7B5A">
        <w:rPr>
          <w:rFonts w:asciiTheme="minorHAnsi" w:hAnsiTheme="minorHAnsi"/>
          <w:color w:val="000000" w:themeColor="text1"/>
          <w:sz w:val="20"/>
          <w:szCs w:val="20"/>
          <w:lang w:val="sr-Cyrl-BA"/>
        </w:rPr>
        <w:t xml:space="preserve"> 202</w:t>
      </w:r>
      <w:r>
        <w:rPr>
          <w:rFonts w:asciiTheme="minorHAnsi" w:hAnsiTheme="minorHAnsi"/>
          <w:color w:val="000000" w:themeColor="text1"/>
          <w:sz w:val="20"/>
          <w:szCs w:val="20"/>
          <w:lang w:val="sr-Cyrl-BA"/>
        </w:rPr>
        <w:t>4</w:t>
      </w:r>
      <w:r w:rsidRPr="008D7B5A">
        <w:rPr>
          <w:rFonts w:asciiTheme="minorHAnsi" w:hAnsiTheme="minorHAnsi"/>
          <w:color w:val="000000" w:themeColor="text1"/>
          <w:sz w:val="20"/>
          <w:szCs w:val="20"/>
          <w:lang w:val="sr-Cyrl-BA"/>
        </w:rPr>
        <w:t xml:space="preserve">. године </w:t>
      </w:r>
      <w:r>
        <w:rPr>
          <w:rFonts w:asciiTheme="minorHAnsi" w:hAnsiTheme="minorHAnsi"/>
          <w:color w:val="000000" w:themeColor="text1"/>
          <w:sz w:val="20"/>
          <w:szCs w:val="20"/>
          <w:lang w:val="sr-Cyrl-BA"/>
        </w:rPr>
        <w:t xml:space="preserve">наставио са редовним активностима које се тичу праћења постојећих и издавања нових гаранција, а гарантна активност се </w:t>
      </w:r>
      <w:r w:rsidRPr="008D7B5A">
        <w:rPr>
          <w:rFonts w:asciiTheme="minorHAnsi" w:hAnsiTheme="minorHAnsi"/>
          <w:color w:val="000000" w:themeColor="text1"/>
          <w:sz w:val="20"/>
          <w:szCs w:val="20"/>
          <w:lang w:val="sr-Cyrl-BA"/>
        </w:rPr>
        <w:t>одвијала у три сегмента: издавање појединачних гаранција, издавање гаранција на кредитни портф</w:t>
      </w:r>
      <w:r>
        <w:rPr>
          <w:rFonts w:asciiTheme="minorHAnsi" w:hAnsiTheme="minorHAnsi"/>
          <w:color w:val="000000" w:themeColor="text1"/>
          <w:sz w:val="20"/>
          <w:szCs w:val="20"/>
          <w:lang w:val="sr-Cyrl-BA"/>
        </w:rPr>
        <w:t>ељ</w:t>
      </w:r>
      <w:r w:rsidRPr="008D7B5A">
        <w:rPr>
          <w:rFonts w:asciiTheme="minorHAnsi" w:hAnsiTheme="minorHAnsi"/>
          <w:color w:val="000000" w:themeColor="text1"/>
          <w:sz w:val="20"/>
          <w:szCs w:val="20"/>
          <w:lang w:val="sr-Cyrl-BA"/>
        </w:rPr>
        <w:t xml:space="preserve"> и издавање гаранција на емитоване хартије од вриједности. </w:t>
      </w:r>
    </w:p>
    <w:p w:rsidR="00DD4683" w:rsidRDefault="00DD4683" w:rsidP="00DD5804">
      <w:pPr>
        <w:rPr>
          <w:rFonts w:asciiTheme="minorHAnsi" w:hAnsiTheme="minorHAnsi"/>
          <w:color w:val="000000" w:themeColor="text1"/>
          <w:sz w:val="20"/>
          <w:szCs w:val="20"/>
          <w:lang w:val="sr-Cyrl-BA"/>
        </w:rPr>
      </w:pPr>
    </w:p>
    <w:p w:rsidR="00DD4683" w:rsidRDefault="00DD4683" w:rsidP="00DD5804">
      <w:pPr>
        <w:pStyle w:val="Heading2"/>
        <w:numPr>
          <w:ilvl w:val="0"/>
          <w:numId w:val="0"/>
        </w:numPr>
        <w:spacing w:line="240" w:lineRule="auto"/>
        <w:rPr>
          <w:rFonts w:asciiTheme="minorHAnsi" w:hAnsiTheme="minorHAnsi"/>
          <w:color w:val="000000" w:themeColor="text1"/>
          <w:szCs w:val="20"/>
          <w:lang w:val="sr-Cyrl-RS"/>
        </w:rPr>
      </w:pPr>
      <w:r w:rsidRPr="008D7B5A">
        <w:rPr>
          <w:rFonts w:asciiTheme="minorHAnsi" w:hAnsiTheme="minorHAnsi"/>
          <w:color w:val="000000" w:themeColor="text1"/>
          <w:szCs w:val="20"/>
          <w:lang w:val="sr-Cyrl-BA"/>
        </w:rPr>
        <w:t>На основу Уговора о пословно</w:t>
      </w:r>
      <w:r w:rsidRPr="008D7B5A">
        <w:rPr>
          <w:rFonts w:asciiTheme="minorHAnsi" w:hAnsiTheme="minorHAnsi"/>
          <w:color w:val="000000" w:themeColor="text1"/>
          <w:szCs w:val="20"/>
        </w:rPr>
        <w:t>-</w:t>
      </w:r>
      <w:r w:rsidRPr="008D7B5A">
        <w:rPr>
          <w:rFonts w:asciiTheme="minorHAnsi" w:hAnsiTheme="minorHAnsi"/>
          <w:color w:val="000000" w:themeColor="text1"/>
          <w:szCs w:val="20"/>
          <w:lang w:val="sr-Cyrl-BA"/>
        </w:rPr>
        <w:t>техничкој сарадњи потписаних са финанс</w:t>
      </w:r>
      <w:r>
        <w:rPr>
          <w:rFonts w:asciiTheme="minorHAnsi" w:hAnsiTheme="minorHAnsi"/>
          <w:color w:val="000000" w:themeColor="text1"/>
          <w:szCs w:val="20"/>
          <w:lang w:val="sr-Cyrl-BA"/>
        </w:rPr>
        <w:t>ијским посредницима који уз доз</w:t>
      </w:r>
      <w:r w:rsidRPr="008D7B5A">
        <w:rPr>
          <w:rFonts w:asciiTheme="minorHAnsi" w:hAnsiTheme="minorHAnsi"/>
          <w:color w:val="000000" w:themeColor="text1"/>
          <w:szCs w:val="20"/>
          <w:lang w:val="sr-Cyrl-BA"/>
        </w:rPr>
        <w:t>волу Агенције за банкарство Републике Српске послују на подручју Републике Српске и у складу с о</w:t>
      </w:r>
      <w:r w:rsidRPr="008D7B5A">
        <w:rPr>
          <w:rFonts w:asciiTheme="minorHAnsi" w:hAnsiTheme="minorHAnsi"/>
          <w:noProof/>
          <w:color w:val="000000" w:themeColor="text1"/>
          <w:szCs w:val="20"/>
          <w:lang w:val="sr-Cyrl-RS"/>
        </w:rPr>
        <w:t>дредбама члана 3 Правилника о одобравању гаранција („Службени гласник Републике Српске“, број 14</w:t>
      </w:r>
      <w:r w:rsidRPr="008D7B5A">
        <w:rPr>
          <w:rFonts w:asciiTheme="minorHAnsi" w:hAnsiTheme="minorHAnsi"/>
          <w:noProof/>
          <w:color w:val="000000" w:themeColor="text1"/>
          <w:szCs w:val="20"/>
        </w:rPr>
        <w:t>/</w:t>
      </w:r>
      <w:r w:rsidRPr="008D7B5A">
        <w:rPr>
          <w:rFonts w:asciiTheme="minorHAnsi" w:hAnsiTheme="minorHAnsi"/>
          <w:noProof/>
          <w:color w:val="000000" w:themeColor="text1"/>
          <w:szCs w:val="20"/>
          <w:lang w:val="sr-Cyrl-BA"/>
        </w:rPr>
        <w:t>21</w:t>
      </w:r>
      <w:r w:rsidRPr="008D7B5A">
        <w:rPr>
          <w:rFonts w:asciiTheme="minorHAnsi" w:hAnsiTheme="minorHAnsi"/>
          <w:noProof/>
          <w:color w:val="000000" w:themeColor="text1"/>
          <w:szCs w:val="20"/>
          <w:lang w:val="sr-Cyrl-RS"/>
        </w:rPr>
        <w:t>)</w:t>
      </w:r>
      <w:r>
        <w:rPr>
          <w:rFonts w:asciiTheme="minorHAnsi" w:hAnsiTheme="minorHAnsi"/>
          <w:color w:val="000000" w:themeColor="text1"/>
          <w:szCs w:val="20"/>
          <w:lang w:val="sr-Cyrl-BA"/>
        </w:rPr>
        <w:t>, те на основу потписаних уговор</w:t>
      </w:r>
      <w:r w:rsidRPr="00215F23">
        <w:rPr>
          <w:rFonts w:asciiTheme="minorHAnsi" w:hAnsiTheme="minorHAnsi"/>
          <w:color w:val="000000" w:themeColor="text1"/>
          <w:szCs w:val="20"/>
          <w:lang w:val="sr-Cyrl-BA"/>
        </w:rPr>
        <w:t>а о гарантовању кредитног портфеља са финансијским посредницима</w:t>
      </w:r>
      <w:r w:rsidRPr="00215F23">
        <w:rPr>
          <w:rFonts w:asciiTheme="minorHAnsi" w:hAnsiTheme="minorHAnsi"/>
          <w:color w:val="000000" w:themeColor="text1"/>
          <w:szCs w:val="20"/>
        </w:rPr>
        <w:t xml:space="preserve">, </w:t>
      </w:r>
      <w:r>
        <w:rPr>
          <w:rFonts w:asciiTheme="minorHAnsi" w:hAnsiTheme="minorHAnsi"/>
          <w:color w:val="000000" w:themeColor="text1"/>
          <w:szCs w:val="20"/>
          <w:lang w:val="sr-Cyrl-RS"/>
        </w:rPr>
        <w:t xml:space="preserve">Гарантни фонд је у 2024. години издао 101 гаранцију у износу од 15.787.275,00 КМ, чиме је подржано 31.574.550,00 КМ кредитних пласмана предузетницима и малим и средњим предузећима широм Републике Српске. Од оснивања до данас, издане гаранције Фонда су премашиле вриједност од 111 милиона КМ, чиме је омогућен пласман 278 милиона КМ кредитних средстава. </w:t>
      </w:r>
    </w:p>
    <w:p w:rsidR="00DD4683" w:rsidRDefault="00DD4683" w:rsidP="00DD5804">
      <w:pPr>
        <w:rPr>
          <w:rFonts w:asciiTheme="minorHAnsi" w:hAnsiTheme="minorHAnsi"/>
          <w:color w:val="000000" w:themeColor="text1"/>
          <w:sz w:val="20"/>
          <w:szCs w:val="20"/>
          <w:lang w:val="sr-Cyrl-BA"/>
        </w:rPr>
      </w:pPr>
    </w:p>
    <w:p w:rsidR="00DD4683" w:rsidRDefault="00DD4683" w:rsidP="00DD5804">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Од 2020. године је примјетна све већа оријентација финансијских посредника на одобравање кредита у оквиру портф</w:t>
      </w:r>
      <w:r w:rsidR="00480EFE">
        <w:rPr>
          <w:rFonts w:asciiTheme="minorHAnsi" w:hAnsiTheme="minorHAnsi"/>
          <w:color w:val="000000" w:themeColor="text1"/>
          <w:sz w:val="20"/>
          <w:szCs w:val="20"/>
          <w:lang w:val="sr-Cyrl-BA"/>
        </w:rPr>
        <w:t>еља</w:t>
      </w:r>
      <w:r>
        <w:rPr>
          <w:rFonts w:asciiTheme="minorHAnsi" w:hAnsiTheme="minorHAnsi"/>
          <w:color w:val="000000" w:themeColor="text1"/>
          <w:sz w:val="20"/>
          <w:szCs w:val="20"/>
          <w:lang w:val="sr-Cyrl-BA"/>
        </w:rPr>
        <w:t xml:space="preserve"> кредита, с обзиром на бројне предности у виду скраћења процедуре одобравања и једноставнијег поступка за самог клијента. Значајна предност овог начина одобравања је у томе што се трошак издавања гаранције пребацује на финансијског посредника, за разлику од појединачних гаранција гдје трошкове сноси клијент. </w:t>
      </w:r>
    </w:p>
    <w:p w:rsidR="00DE3404" w:rsidRDefault="00DE3404" w:rsidP="00DD5804">
      <w:pPr>
        <w:rPr>
          <w:rFonts w:asciiTheme="minorHAnsi" w:hAnsiTheme="minorHAnsi"/>
          <w:color w:val="000000" w:themeColor="text1"/>
          <w:sz w:val="20"/>
          <w:szCs w:val="20"/>
          <w:lang w:val="sr-Cyrl-RS"/>
        </w:rPr>
      </w:pPr>
    </w:p>
    <w:p w:rsidR="00DD4683" w:rsidRDefault="00DD4683" w:rsidP="00DD5804">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RS"/>
        </w:rPr>
        <w:t>Током године, уредно су отплаћени кредити одобрени у номиналном износу од 15.</w:t>
      </w:r>
      <w:r w:rsidR="00DE3404">
        <w:rPr>
          <w:rFonts w:asciiTheme="minorHAnsi" w:hAnsiTheme="minorHAnsi"/>
          <w:color w:val="000000" w:themeColor="text1"/>
          <w:sz w:val="20"/>
          <w:szCs w:val="20"/>
          <w:lang w:val="sr-Cyrl-RS"/>
        </w:rPr>
        <w:t>101.749,40</w:t>
      </w:r>
      <w:r>
        <w:rPr>
          <w:rFonts w:asciiTheme="minorHAnsi" w:hAnsiTheme="minorHAnsi"/>
          <w:color w:val="000000" w:themeColor="text1"/>
          <w:sz w:val="20"/>
          <w:szCs w:val="20"/>
          <w:lang w:val="sr-Cyrl-RS"/>
        </w:rPr>
        <w:t xml:space="preserve"> КМ, чиме су ван снаге стављене гаранције у износу од 6.</w:t>
      </w:r>
      <w:r w:rsidR="00DE3404">
        <w:rPr>
          <w:rFonts w:asciiTheme="minorHAnsi" w:hAnsiTheme="minorHAnsi"/>
          <w:color w:val="000000" w:themeColor="text1"/>
          <w:sz w:val="20"/>
          <w:szCs w:val="20"/>
          <w:lang w:val="sr-Cyrl-RS"/>
        </w:rPr>
        <w:t>138.430,00</w:t>
      </w:r>
      <w:r>
        <w:rPr>
          <w:rFonts w:asciiTheme="minorHAnsi" w:hAnsiTheme="minorHAnsi"/>
          <w:color w:val="000000" w:themeColor="text1"/>
          <w:sz w:val="20"/>
          <w:szCs w:val="20"/>
          <w:lang w:val="sr-Cyrl-RS"/>
        </w:rPr>
        <w:t xml:space="preserve"> КМ, те </w:t>
      </w:r>
      <w:r w:rsidRPr="00DE3404">
        <w:rPr>
          <w:rFonts w:asciiTheme="minorHAnsi" w:hAnsiTheme="minorHAnsi"/>
          <w:color w:val="000000" w:themeColor="text1"/>
          <w:sz w:val="20"/>
          <w:szCs w:val="20"/>
          <w:lang w:val="sr-Cyrl-RS"/>
        </w:rPr>
        <w:t>је значајно смањена изложеност Гарантног фонда</w:t>
      </w:r>
      <w:r w:rsidR="00DE3404" w:rsidRPr="00DE3404">
        <w:rPr>
          <w:rFonts w:asciiTheme="minorHAnsi" w:hAnsiTheme="minorHAnsi"/>
          <w:color w:val="000000" w:themeColor="text1"/>
          <w:sz w:val="20"/>
          <w:szCs w:val="20"/>
          <w:lang w:val="sr-Cyrl-RS"/>
        </w:rPr>
        <w:t xml:space="preserve"> по овом основу</w:t>
      </w:r>
      <w:r w:rsidRPr="00DE3404">
        <w:rPr>
          <w:rFonts w:asciiTheme="minorHAnsi" w:hAnsiTheme="minorHAnsi"/>
          <w:color w:val="000000" w:themeColor="text1"/>
          <w:sz w:val="20"/>
          <w:szCs w:val="20"/>
          <w:lang w:val="sr-Cyrl-RS"/>
        </w:rPr>
        <w:t xml:space="preserve">. </w:t>
      </w:r>
      <w:r w:rsidRPr="00DE3404">
        <w:rPr>
          <w:rFonts w:asciiTheme="minorHAnsi" w:hAnsiTheme="minorHAnsi"/>
          <w:color w:val="000000" w:themeColor="text1"/>
          <w:sz w:val="20"/>
          <w:szCs w:val="20"/>
          <w:lang w:val="sr-Cyrl-BA"/>
        </w:rPr>
        <w:t>На дан 31.12.202</w:t>
      </w:r>
      <w:r w:rsidR="00DE3404" w:rsidRPr="00DE3404">
        <w:rPr>
          <w:rFonts w:asciiTheme="minorHAnsi" w:hAnsiTheme="minorHAnsi"/>
          <w:color w:val="000000" w:themeColor="text1"/>
          <w:sz w:val="20"/>
          <w:szCs w:val="20"/>
          <w:lang w:val="sr-Cyrl-BA"/>
        </w:rPr>
        <w:t>4</w:t>
      </w:r>
      <w:r w:rsidRPr="00DE3404">
        <w:rPr>
          <w:rFonts w:asciiTheme="minorHAnsi" w:hAnsiTheme="minorHAnsi"/>
          <w:color w:val="000000" w:themeColor="text1"/>
          <w:sz w:val="20"/>
          <w:szCs w:val="20"/>
          <w:lang w:val="sr-Cyrl-BA"/>
        </w:rPr>
        <w:t xml:space="preserve">. године, укупна изложеност Гарантног фонда према корисницима гаранција у три наведена сегмента износи </w:t>
      </w:r>
      <w:r w:rsidR="00DE3404" w:rsidRPr="00DE3404">
        <w:rPr>
          <w:rFonts w:ascii="Calibri" w:hAnsi="Calibri"/>
          <w:bCs/>
          <w:color w:val="auto"/>
          <w:sz w:val="20"/>
          <w:szCs w:val="20"/>
        </w:rPr>
        <w:t>24.837.046,28</w:t>
      </w:r>
      <w:r w:rsidR="00DE3404">
        <w:rPr>
          <w:rFonts w:ascii="Calibri" w:hAnsi="Calibri"/>
          <w:bCs/>
          <w:color w:val="auto"/>
          <w:sz w:val="20"/>
          <w:szCs w:val="20"/>
          <w:lang w:val="sr-Cyrl-RS"/>
        </w:rPr>
        <w:t xml:space="preserve"> </w:t>
      </w:r>
      <w:r w:rsidRPr="00DE3404">
        <w:rPr>
          <w:rFonts w:asciiTheme="minorHAnsi" w:hAnsiTheme="minorHAnsi"/>
          <w:color w:val="000000" w:themeColor="text1"/>
          <w:sz w:val="20"/>
          <w:szCs w:val="20"/>
          <w:lang w:val="sr-Cyrl-BA"/>
        </w:rPr>
        <w:t>КМ и представља максималну потенцијалну обавезу Гарантног фонда која се заснива на стању активних гаранција на наведени дан. Укупна изложеност је у оквиру Законом дозвољене максималне</w:t>
      </w:r>
      <w:r>
        <w:rPr>
          <w:rFonts w:asciiTheme="minorHAnsi" w:hAnsiTheme="minorHAnsi"/>
          <w:color w:val="000000" w:themeColor="text1"/>
          <w:sz w:val="20"/>
          <w:szCs w:val="20"/>
          <w:lang w:val="sr-Cyrl-BA"/>
        </w:rPr>
        <w:t xml:space="preserve"> изложености које је дефинисана на нивоу троструке вриједности основног капитала, односно 90.000.000,00 КМ.</w:t>
      </w:r>
      <w:r w:rsidRPr="00646C62">
        <w:rPr>
          <w:rFonts w:asciiTheme="minorHAnsi" w:hAnsiTheme="minorHAnsi"/>
          <w:color w:val="000000" w:themeColor="text1"/>
          <w:sz w:val="20"/>
          <w:szCs w:val="20"/>
          <w:lang w:val="sr-Cyrl-BA"/>
        </w:rPr>
        <w:t xml:space="preserve">  </w:t>
      </w:r>
    </w:p>
    <w:p w:rsidR="00DD4683" w:rsidRDefault="00DD4683" w:rsidP="00DD5804">
      <w:pPr>
        <w:rPr>
          <w:rFonts w:asciiTheme="minorHAnsi" w:hAnsiTheme="minorHAnsi"/>
          <w:color w:val="000000" w:themeColor="text1"/>
          <w:sz w:val="20"/>
          <w:szCs w:val="20"/>
          <w:lang w:val="sr-Cyrl-RS"/>
        </w:rPr>
      </w:pPr>
    </w:p>
    <w:p w:rsidR="00DD4683" w:rsidRDefault="00DD4683" w:rsidP="00DD5804">
      <w:pPr>
        <w:rPr>
          <w:rFonts w:asciiTheme="minorHAnsi" w:hAnsiTheme="minorHAnsi"/>
          <w:color w:val="000000" w:themeColor="text1"/>
          <w:sz w:val="20"/>
          <w:szCs w:val="20"/>
          <w:lang w:val="sr-Cyrl-BA"/>
        </w:rPr>
      </w:pPr>
      <w:r w:rsidRPr="00C83692">
        <w:rPr>
          <w:rFonts w:asciiTheme="minorHAnsi" w:hAnsiTheme="minorHAnsi"/>
          <w:color w:val="000000" w:themeColor="text1"/>
          <w:sz w:val="20"/>
          <w:szCs w:val="20"/>
          <w:lang w:val="sr-Cyrl-BA"/>
        </w:rPr>
        <w:t>Поред наведеног, Гарантни фонд је у 202</w:t>
      </w:r>
      <w:r w:rsidR="00DE3404">
        <w:rPr>
          <w:rFonts w:asciiTheme="minorHAnsi" w:hAnsiTheme="minorHAnsi"/>
          <w:color w:val="000000" w:themeColor="text1"/>
          <w:sz w:val="20"/>
          <w:szCs w:val="20"/>
          <w:lang w:val="sr-Cyrl-BA"/>
        </w:rPr>
        <w:t>4</w:t>
      </w:r>
      <w:r w:rsidRPr="00C83692">
        <w:rPr>
          <w:rFonts w:asciiTheme="minorHAnsi" w:hAnsiTheme="minorHAnsi"/>
          <w:color w:val="000000" w:themeColor="text1"/>
          <w:sz w:val="20"/>
          <w:szCs w:val="20"/>
          <w:lang w:val="sr-Cyrl-BA"/>
        </w:rPr>
        <w:t xml:space="preserve">. години наставио са активностима које се тичу провођења Гарантног програма Владе Републике Српске. </w:t>
      </w:r>
      <w:r w:rsidRPr="00090FC2">
        <w:rPr>
          <w:rFonts w:asciiTheme="minorHAnsi" w:hAnsiTheme="minorHAnsi"/>
          <w:color w:val="000000" w:themeColor="text1"/>
          <w:sz w:val="20"/>
          <w:szCs w:val="20"/>
          <w:lang w:val="sr-Cyrl-BA"/>
        </w:rPr>
        <w:t xml:space="preserve">Гарантни фонд Републике Српске управља Гарантним програмом у име и за рачун Републике Српске, поштујући закон којим је регулисано његово пословање, Одлуку о Гарантном програму и друге пратеће акте. Иако је Гарантни програм завршен 31.12.2022. године, у смислу да није могуће укључивање нових кредита у портфолио, Фонд </w:t>
      </w:r>
      <w:r>
        <w:rPr>
          <w:rFonts w:asciiTheme="minorHAnsi" w:hAnsiTheme="minorHAnsi"/>
          <w:color w:val="000000" w:themeColor="text1"/>
          <w:sz w:val="20"/>
          <w:szCs w:val="20"/>
          <w:lang w:val="sr-Cyrl-BA"/>
        </w:rPr>
        <w:t>је током 202</w:t>
      </w:r>
      <w:r w:rsidR="00DE3404">
        <w:rPr>
          <w:rFonts w:asciiTheme="minorHAnsi" w:hAnsiTheme="minorHAnsi"/>
          <w:color w:val="000000" w:themeColor="text1"/>
          <w:sz w:val="20"/>
          <w:szCs w:val="20"/>
          <w:lang w:val="sr-Cyrl-BA"/>
        </w:rPr>
        <w:t>4</w:t>
      </w:r>
      <w:r>
        <w:rPr>
          <w:rFonts w:asciiTheme="minorHAnsi" w:hAnsiTheme="minorHAnsi"/>
          <w:color w:val="000000" w:themeColor="text1"/>
          <w:sz w:val="20"/>
          <w:szCs w:val="20"/>
          <w:lang w:val="sr-Cyrl-BA"/>
        </w:rPr>
        <w:t>. године наставио са</w:t>
      </w:r>
      <w:r w:rsidRPr="00090FC2">
        <w:rPr>
          <w:rFonts w:asciiTheme="minorHAnsi" w:hAnsiTheme="minorHAnsi"/>
          <w:color w:val="000000" w:themeColor="text1"/>
          <w:sz w:val="20"/>
          <w:szCs w:val="20"/>
          <w:lang w:val="sr-Cyrl-BA"/>
        </w:rPr>
        <w:t xml:space="preserve"> активности</w:t>
      </w:r>
      <w:r>
        <w:rPr>
          <w:rFonts w:asciiTheme="minorHAnsi" w:hAnsiTheme="minorHAnsi"/>
          <w:color w:val="000000" w:themeColor="text1"/>
          <w:sz w:val="20"/>
          <w:szCs w:val="20"/>
          <w:lang w:val="sr-Cyrl-BA"/>
        </w:rPr>
        <w:t>ма</w:t>
      </w:r>
      <w:r w:rsidRPr="00090FC2">
        <w:rPr>
          <w:rFonts w:asciiTheme="minorHAnsi" w:hAnsiTheme="minorHAnsi"/>
          <w:color w:val="000000" w:themeColor="text1"/>
          <w:sz w:val="20"/>
          <w:szCs w:val="20"/>
          <w:lang w:val="sr-Cyrl-BA"/>
        </w:rPr>
        <w:t xml:space="preserve"> које се тичу п</w:t>
      </w:r>
      <w:r>
        <w:rPr>
          <w:rFonts w:asciiTheme="minorHAnsi" w:hAnsiTheme="minorHAnsi"/>
          <w:color w:val="000000" w:themeColor="text1"/>
          <w:sz w:val="20"/>
          <w:szCs w:val="20"/>
          <w:lang w:val="sr-Cyrl-BA"/>
        </w:rPr>
        <w:t xml:space="preserve">раћења стања активних кредита, вршења теренских контрола и сачињавања мјесечних, односно кварталних извјештаја. </w:t>
      </w:r>
      <w:r w:rsidRPr="00090FC2">
        <w:rPr>
          <w:rFonts w:asciiTheme="minorHAnsi" w:hAnsiTheme="minorHAnsi"/>
          <w:color w:val="000000" w:themeColor="text1"/>
          <w:sz w:val="20"/>
          <w:szCs w:val="20"/>
          <w:lang w:val="sr-Cyrl-BA"/>
        </w:rPr>
        <w:t xml:space="preserve">Поред постојећег људског кадра који је укључен у провођење наведених активности, Гарантни фонд је извршио и сва потребна материјална и нематеријална улагања за ефикасно праћење Програма, укључујући </w:t>
      </w:r>
      <w:r>
        <w:rPr>
          <w:rFonts w:asciiTheme="minorHAnsi" w:hAnsiTheme="minorHAnsi"/>
          <w:color w:val="000000" w:themeColor="text1"/>
          <w:sz w:val="20"/>
          <w:szCs w:val="20"/>
          <w:lang w:val="sr-Cyrl-BA"/>
        </w:rPr>
        <w:t xml:space="preserve">континуирано </w:t>
      </w:r>
      <w:r w:rsidRPr="00090FC2">
        <w:rPr>
          <w:rFonts w:asciiTheme="minorHAnsi" w:hAnsiTheme="minorHAnsi"/>
          <w:color w:val="000000" w:themeColor="text1"/>
          <w:sz w:val="20"/>
          <w:szCs w:val="20"/>
          <w:lang w:val="sr-Cyrl-BA"/>
        </w:rPr>
        <w:t>улагање у софтвер и пратећу опрему.</w:t>
      </w:r>
    </w:p>
    <w:p w:rsidR="00DD4683" w:rsidRDefault="00DD4683" w:rsidP="00DD5804">
      <w:pPr>
        <w:rPr>
          <w:rFonts w:asciiTheme="minorHAnsi" w:hAnsiTheme="minorHAnsi"/>
          <w:color w:val="000000" w:themeColor="text1"/>
          <w:sz w:val="20"/>
          <w:szCs w:val="20"/>
          <w:lang w:val="sr-Cyrl-BA"/>
        </w:rPr>
      </w:pPr>
    </w:p>
    <w:p w:rsidR="00DD4683" w:rsidRPr="00C83692" w:rsidRDefault="00DD4683" w:rsidP="00DD5804">
      <w:pPr>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Гарантни фонд је наставио сарадњу са Европском асоцијацијом гарантних институција, путем које размјењује позитивна искуства и праксе, те прати најновија дешавања на европском тржишту гаранција.</w:t>
      </w:r>
    </w:p>
    <w:p w:rsidR="00DD4683" w:rsidRDefault="00DD4683" w:rsidP="00DD5804">
      <w:pPr>
        <w:rPr>
          <w:rFonts w:asciiTheme="minorHAnsi" w:hAnsiTheme="minorHAnsi"/>
          <w:color w:val="auto"/>
          <w:sz w:val="20"/>
          <w:szCs w:val="20"/>
          <w:lang w:val="sr-Cyrl-BA" w:eastAsia="sr-Cyrl-CS"/>
        </w:rPr>
      </w:pPr>
    </w:p>
    <w:p w:rsidR="00DE3404" w:rsidRPr="00575C8E" w:rsidRDefault="00DE3404" w:rsidP="00DD5804">
      <w:pPr>
        <w:rPr>
          <w:rFonts w:asciiTheme="minorHAnsi" w:eastAsia="Calibri" w:hAnsiTheme="minorHAnsi"/>
          <w:color w:val="auto"/>
          <w:sz w:val="20"/>
          <w:szCs w:val="20"/>
          <w:lang w:val="sr-Cyrl-BA" w:eastAsia="en-US"/>
        </w:rPr>
      </w:pPr>
      <w:r w:rsidRPr="00575C8E">
        <w:rPr>
          <w:rFonts w:asciiTheme="minorHAnsi" w:eastAsia="Calibri" w:hAnsiTheme="minorHAnsi"/>
          <w:color w:val="auto"/>
          <w:sz w:val="20"/>
          <w:szCs w:val="20"/>
          <w:lang w:val="en-GB" w:eastAsia="en-US"/>
        </w:rPr>
        <w:t>У 202</w:t>
      </w:r>
      <w:r w:rsidRPr="00575C8E">
        <w:rPr>
          <w:rFonts w:asciiTheme="minorHAnsi" w:eastAsia="Calibri" w:hAnsiTheme="minorHAnsi"/>
          <w:color w:val="auto"/>
          <w:sz w:val="20"/>
          <w:szCs w:val="20"/>
          <w:lang w:val="sr-Cyrl-BA" w:eastAsia="en-US"/>
        </w:rPr>
        <w:t>4</w:t>
      </w:r>
      <w:r w:rsidRPr="00575C8E">
        <w:rPr>
          <w:rFonts w:asciiTheme="minorHAnsi" w:eastAsia="Calibri" w:hAnsiTheme="minorHAnsi"/>
          <w:color w:val="auto"/>
          <w:sz w:val="20"/>
          <w:szCs w:val="20"/>
          <w:lang w:val="en-GB" w:eastAsia="en-US"/>
        </w:rPr>
        <w:t>. години</w:t>
      </w:r>
      <w:r>
        <w:rPr>
          <w:rFonts w:asciiTheme="minorHAnsi" w:eastAsia="Calibri" w:hAnsiTheme="minorHAnsi"/>
          <w:color w:val="auto"/>
          <w:sz w:val="20"/>
          <w:szCs w:val="20"/>
          <w:lang w:val="sr-Cyrl-RS" w:eastAsia="en-US"/>
        </w:rPr>
        <w:t>,</w:t>
      </w:r>
      <w:r w:rsidRPr="00575C8E">
        <w:rPr>
          <w:rFonts w:asciiTheme="minorHAnsi" w:eastAsia="Calibri" w:hAnsiTheme="minorHAnsi"/>
          <w:color w:val="auto"/>
          <w:sz w:val="20"/>
          <w:szCs w:val="20"/>
          <w:lang w:val="en-GB" w:eastAsia="en-US"/>
        </w:rPr>
        <w:t xml:space="preserve"> </w:t>
      </w:r>
      <w:r w:rsidRPr="00575C8E">
        <w:rPr>
          <w:rFonts w:asciiTheme="minorHAnsi" w:eastAsia="Calibri" w:hAnsiTheme="minorHAnsi"/>
          <w:color w:val="auto"/>
          <w:sz w:val="20"/>
          <w:szCs w:val="20"/>
          <w:lang w:val="sr-Cyrl-RS" w:eastAsia="en-US"/>
        </w:rPr>
        <w:t>Гарантни ф</w:t>
      </w:r>
      <w:r w:rsidRPr="00575C8E">
        <w:rPr>
          <w:rFonts w:asciiTheme="minorHAnsi" w:eastAsia="Calibri" w:hAnsiTheme="minorHAnsi"/>
          <w:color w:val="auto"/>
          <w:sz w:val="20"/>
          <w:szCs w:val="20"/>
          <w:lang w:val="en-GB" w:eastAsia="en-US"/>
        </w:rPr>
        <w:t xml:space="preserve">онд </w:t>
      </w:r>
      <w:r w:rsidRPr="00575C8E">
        <w:rPr>
          <w:rFonts w:asciiTheme="minorHAnsi" w:eastAsia="Calibri" w:hAnsiTheme="minorHAnsi"/>
          <w:color w:val="auto"/>
          <w:sz w:val="20"/>
          <w:szCs w:val="20"/>
          <w:lang w:val="sr-Cyrl-BA" w:eastAsia="en-US"/>
        </w:rPr>
        <w:t xml:space="preserve">је остварио </w:t>
      </w:r>
      <w:r>
        <w:rPr>
          <w:rFonts w:asciiTheme="minorHAnsi" w:eastAsia="Calibri" w:hAnsiTheme="minorHAnsi"/>
          <w:color w:val="auto"/>
          <w:sz w:val="20"/>
          <w:szCs w:val="20"/>
          <w:lang w:val="sr-Cyrl-BA" w:eastAsia="en-US"/>
        </w:rPr>
        <w:t xml:space="preserve">укупне приходе у износу од 1.670.371,79 КМ и укупне расходе у износу од 2.656.957,48 КМ. Фонд је пословао негативно, са губитком у износу од </w:t>
      </w:r>
      <w:r w:rsidRPr="00575C8E">
        <w:rPr>
          <w:rFonts w:asciiTheme="minorHAnsi" w:eastAsia="Calibri" w:hAnsiTheme="minorHAnsi"/>
          <w:color w:val="auto"/>
          <w:sz w:val="20"/>
          <w:szCs w:val="20"/>
          <w:lang w:val="sr-Cyrl-BA" w:eastAsia="en-US"/>
        </w:rPr>
        <w:t xml:space="preserve"> 9</w:t>
      </w:r>
      <w:r w:rsidRPr="00575C8E">
        <w:rPr>
          <w:rFonts w:asciiTheme="minorHAnsi" w:eastAsia="Calibri" w:hAnsiTheme="minorHAnsi"/>
          <w:color w:val="auto"/>
          <w:sz w:val="20"/>
          <w:szCs w:val="20"/>
          <w:lang w:eastAsia="en-US"/>
        </w:rPr>
        <w:t>86</w:t>
      </w:r>
      <w:r w:rsidRPr="00575C8E">
        <w:rPr>
          <w:rFonts w:asciiTheme="minorHAnsi" w:eastAsia="Calibri" w:hAnsiTheme="minorHAnsi"/>
          <w:color w:val="auto"/>
          <w:sz w:val="20"/>
          <w:szCs w:val="20"/>
          <w:lang w:val="sr-Cyrl-BA" w:eastAsia="en-US"/>
        </w:rPr>
        <w:t xml:space="preserve">.585,69 КМ. </w:t>
      </w:r>
      <w:r w:rsidR="00480EFE">
        <w:rPr>
          <w:rFonts w:asciiTheme="minorHAnsi" w:eastAsia="Calibri" w:hAnsiTheme="minorHAnsi"/>
          <w:color w:val="auto"/>
          <w:sz w:val="20"/>
          <w:szCs w:val="20"/>
          <w:lang w:val="sr-Cyrl-BA" w:eastAsia="en-US"/>
        </w:rPr>
        <w:t>На о</w:t>
      </w:r>
      <w:r w:rsidRPr="00575C8E">
        <w:rPr>
          <w:rFonts w:asciiTheme="minorHAnsi" w:eastAsia="Calibri" w:hAnsiTheme="minorHAnsi"/>
          <w:color w:val="auto"/>
          <w:sz w:val="20"/>
          <w:szCs w:val="20"/>
          <w:lang w:val="sr-Cyrl-BA" w:eastAsia="en-US"/>
        </w:rPr>
        <w:t xml:space="preserve">стварени губитак </w:t>
      </w:r>
      <w:r>
        <w:rPr>
          <w:rFonts w:asciiTheme="minorHAnsi" w:eastAsia="Calibri" w:hAnsiTheme="minorHAnsi"/>
          <w:color w:val="auto"/>
          <w:sz w:val="20"/>
          <w:szCs w:val="20"/>
          <w:lang w:val="sr-Cyrl-BA" w:eastAsia="en-US"/>
        </w:rPr>
        <w:t xml:space="preserve">у 2024. години </w:t>
      </w:r>
      <w:r w:rsidR="00480EFE">
        <w:rPr>
          <w:rFonts w:asciiTheme="minorHAnsi" w:eastAsia="Calibri" w:hAnsiTheme="minorHAnsi"/>
          <w:color w:val="auto"/>
          <w:sz w:val="20"/>
          <w:szCs w:val="20"/>
          <w:lang w:val="sr-Cyrl-BA" w:eastAsia="en-US"/>
        </w:rPr>
        <w:t>је највише  утицало неостварење</w:t>
      </w:r>
      <w:r w:rsidRPr="00575C8E">
        <w:rPr>
          <w:rFonts w:asciiTheme="minorHAnsi" w:eastAsia="Calibri" w:hAnsiTheme="minorHAnsi"/>
          <w:color w:val="auto"/>
          <w:sz w:val="20"/>
          <w:szCs w:val="20"/>
          <w:lang w:val="sr-Cyrl-BA" w:eastAsia="en-US"/>
        </w:rPr>
        <w:t xml:space="preserve"> план</w:t>
      </w:r>
      <w:r w:rsidR="00480EFE">
        <w:rPr>
          <w:rFonts w:asciiTheme="minorHAnsi" w:eastAsia="Calibri" w:hAnsiTheme="minorHAnsi"/>
          <w:color w:val="auto"/>
          <w:sz w:val="20"/>
          <w:szCs w:val="20"/>
          <w:lang w:val="sr-Cyrl-BA" w:eastAsia="en-US"/>
        </w:rPr>
        <w:t xml:space="preserve">а прихода од изданих гаранција, </w:t>
      </w:r>
      <w:r w:rsidR="00AF1DA9">
        <w:rPr>
          <w:rFonts w:asciiTheme="minorHAnsi" w:eastAsia="Calibri" w:hAnsiTheme="minorHAnsi"/>
          <w:color w:val="auto"/>
          <w:sz w:val="20"/>
          <w:szCs w:val="20"/>
          <w:lang w:val="sr-Cyrl-BA" w:eastAsia="en-US"/>
        </w:rPr>
        <w:t>раст</w:t>
      </w:r>
      <w:r w:rsidR="00480EFE">
        <w:rPr>
          <w:rFonts w:asciiTheme="minorHAnsi" w:eastAsia="Calibri" w:hAnsiTheme="minorHAnsi"/>
          <w:color w:val="auto"/>
          <w:sz w:val="20"/>
          <w:szCs w:val="20"/>
          <w:lang w:val="sr-Cyrl-BA" w:eastAsia="en-US"/>
        </w:rPr>
        <w:t xml:space="preserve"> расхода услијед</w:t>
      </w:r>
      <w:r w:rsidR="00DD5804">
        <w:rPr>
          <w:rFonts w:asciiTheme="minorHAnsi" w:eastAsia="Calibri" w:hAnsiTheme="minorHAnsi"/>
          <w:color w:val="auto"/>
          <w:sz w:val="20"/>
          <w:szCs w:val="20"/>
          <w:lang w:val="sr-Cyrl-BA" w:eastAsia="en-US"/>
        </w:rPr>
        <w:t xml:space="preserve"> </w:t>
      </w:r>
      <w:r w:rsidR="00480EFE">
        <w:rPr>
          <w:rFonts w:asciiTheme="minorHAnsi" w:eastAsia="Calibri" w:hAnsiTheme="minorHAnsi"/>
          <w:color w:val="auto"/>
          <w:sz w:val="20"/>
          <w:szCs w:val="20"/>
          <w:lang w:val="sr-Cyrl-BA" w:eastAsia="en-US"/>
        </w:rPr>
        <w:t xml:space="preserve"> догађаја </w:t>
      </w:r>
      <w:r w:rsidR="00DD5804">
        <w:rPr>
          <w:rFonts w:asciiTheme="minorHAnsi" w:eastAsia="Calibri" w:hAnsiTheme="minorHAnsi"/>
          <w:color w:val="auto"/>
          <w:sz w:val="20"/>
          <w:szCs w:val="20"/>
          <w:lang w:val="sr-Cyrl-BA" w:eastAsia="en-US"/>
        </w:rPr>
        <w:t>који се нису могли предвидјети, те</w:t>
      </w:r>
      <w:r w:rsidR="00480EFE">
        <w:rPr>
          <w:rFonts w:asciiTheme="minorHAnsi" w:eastAsia="Calibri" w:hAnsiTheme="minorHAnsi"/>
          <w:color w:val="auto"/>
          <w:sz w:val="20"/>
          <w:szCs w:val="20"/>
          <w:lang w:val="sr-Cyrl-BA" w:eastAsia="en-US"/>
        </w:rPr>
        <w:t xml:space="preserve"> исплате по протестованим гаранцијама.</w:t>
      </w:r>
      <w:r>
        <w:rPr>
          <w:rFonts w:asciiTheme="minorHAnsi" w:eastAsia="Calibri" w:hAnsiTheme="minorHAnsi"/>
          <w:color w:val="auto"/>
          <w:sz w:val="20"/>
          <w:szCs w:val="20"/>
          <w:lang w:val="sr-Cyrl-BA" w:eastAsia="en-US"/>
        </w:rPr>
        <w:t xml:space="preserve"> </w:t>
      </w:r>
    </w:p>
    <w:p w:rsidR="00DD4683" w:rsidRPr="00093857" w:rsidRDefault="00DD4683" w:rsidP="00DD5804">
      <w:pPr>
        <w:rPr>
          <w:rFonts w:asciiTheme="minorHAnsi" w:hAnsiTheme="minorHAnsi"/>
          <w:color w:val="auto"/>
          <w:sz w:val="20"/>
          <w:szCs w:val="20"/>
          <w:lang w:val="sr-Cyrl-BA" w:eastAsia="sr-Latn-RS"/>
        </w:rPr>
      </w:pPr>
    </w:p>
    <w:p w:rsidR="00DE3404" w:rsidRDefault="00DE3404" w:rsidP="00DD5804">
      <w:pPr>
        <w:rPr>
          <w:rFonts w:asciiTheme="minorHAnsi" w:eastAsia="Calibri" w:hAnsiTheme="minorHAnsi"/>
          <w:color w:val="000000" w:themeColor="text1"/>
          <w:sz w:val="20"/>
          <w:szCs w:val="20"/>
          <w:lang w:val="sr-Cyrl-BA" w:eastAsia="en-US"/>
        </w:rPr>
      </w:pPr>
    </w:p>
    <w:p w:rsidR="00DD5804" w:rsidRPr="00DE3404" w:rsidRDefault="00DD5804" w:rsidP="00DD5804">
      <w:pPr>
        <w:rPr>
          <w:rFonts w:asciiTheme="minorHAnsi" w:eastAsia="Calibri" w:hAnsiTheme="minorHAnsi"/>
          <w:color w:val="000000" w:themeColor="text1"/>
          <w:sz w:val="20"/>
          <w:szCs w:val="20"/>
          <w:lang w:val="sr-Cyrl-BA" w:eastAsia="en-US"/>
        </w:rPr>
      </w:pPr>
    </w:p>
    <w:p w:rsidR="00320A3D" w:rsidRDefault="00320A3D" w:rsidP="00DD5804">
      <w:pPr>
        <w:ind w:right="-142"/>
        <w:rPr>
          <w:rFonts w:asciiTheme="minorHAnsi" w:eastAsia="Calibri" w:hAnsiTheme="minorHAnsi"/>
          <w:color w:val="auto"/>
          <w:sz w:val="20"/>
          <w:szCs w:val="20"/>
          <w:lang w:val="sr-Cyrl-BA" w:eastAsia="en-US"/>
        </w:rPr>
      </w:pPr>
      <w:r w:rsidRPr="009B6FAB">
        <w:rPr>
          <w:rFonts w:asciiTheme="minorHAnsi" w:eastAsiaTheme="minorHAnsi" w:hAnsiTheme="minorHAnsi"/>
          <w:color w:val="auto"/>
          <w:sz w:val="20"/>
          <w:szCs w:val="20"/>
          <w:lang w:val="sr-Latn-RS" w:eastAsia="en-US"/>
        </w:rPr>
        <w:t>Ревизију финансијских извјештаја за пословну 202</w:t>
      </w:r>
      <w:r>
        <w:rPr>
          <w:rFonts w:asciiTheme="minorHAnsi" w:eastAsiaTheme="minorHAnsi" w:hAnsiTheme="minorHAnsi"/>
          <w:color w:val="auto"/>
          <w:sz w:val="20"/>
          <w:szCs w:val="20"/>
          <w:lang w:val="sr-Cyrl-BA" w:eastAsia="en-US"/>
        </w:rPr>
        <w:t>4</w:t>
      </w:r>
      <w:r w:rsidRPr="009B6FAB">
        <w:rPr>
          <w:rFonts w:asciiTheme="minorHAnsi" w:eastAsiaTheme="minorHAnsi" w:hAnsiTheme="minorHAnsi"/>
          <w:color w:val="auto"/>
          <w:sz w:val="20"/>
          <w:szCs w:val="20"/>
          <w:lang w:val="sr-Latn-RS" w:eastAsia="en-US"/>
        </w:rPr>
        <w:t>. годину је обавила ревизорска кућа „Ревизор“ д.о.о.</w:t>
      </w:r>
      <w:r w:rsidRPr="009B6FAB">
        <w:rPr>
          <w:rFonts w:asciiTheme="minorHAnsi" w:eastAsiaTheme="minorHAnsi" w:hAnsiTheme="minorHAnsi"/>
          <w:color w:val="auto"/>
          <w:sz w:val="20"/>
          <w:szCs w:val="20"/>
          <w:lang w:val="sr-Cyrl-BA" w:eastAsia="en-US"/>
        </w:rPr>
        <w:t xml:space="preserve"> </w:t>
      </w:r>
      <w:r w:rsidRPr="009B6FAB">
        <w:rPr>
          <w:rFonts w:asciiTheme="minorHAnsi" w:eastAsiaTheme="minorHAnsi" w:hAnsiTheme="minorHAnsi"/>
          <w:color w:val="auto"/>
          <w:sz w:val="20"/>
          <w:szCs w:val="20"/>
          <w:lang w:val="sr-Latn-RS" w:eastAsia="en-US"/>
        </w:rPr>
        <w:t>Добој и достави</w:t>
      </w:r>
      <w:r w:rsidRPr="009B6FAB">
        <w:rPr>
          <w:rFonts w:asciiTheme="minorHAnsi" w:eastAsiaTheme="minorHAnsi" w:hAnsiTheme="minorHAnsi"/>
          <w:color w:val="auto"/>
          <w:sz w:val="20"/>
          <w:szCs w:val="20"/>
          <w:lang w:val="sr-Cyrl-BA" w:eastAsia="en-US"/>
        </w:rPr>
        <w:t>ла</w:t>
      </w:r>
      <w:r w:rsidR="00DD5804">
        <w:rPr>
          <w:rFonts w:asciiTheme="minorHAnsi" w:eastAsiaTheme="minorHAnsi" w:hAnsiTheme="minorHAnsi"/>
          <w:color w:val="auto"/>
          <w:sz w:val="20"/>
          <w:szCs w:val="20"/>
          <w:lang w:val="sr-Latn-RS" w:eastAsia="en-US"/>
        </w:rPr>
        <w:t xml:space="preserve"> с</w:t>
      </w:r>
      <w:r w:rsidR="00DD5804">
        <w:rPr>
          <w:rFonts w:asciiTheme="minorHAnsi" w:eastAsiaTheme="minorHAnsi" w:hAnsiTheme="minorHAnsi"/>
          <w:color w:val="auto"/>
          <w:sz w:val="20"/>
          <w:szCs w:val="20"/>
          <w:lang w:val="sr-Cyrl-RS" w:eastAsia="en-US"/>
        </w:rPr>
        <w:t>љ</w:t>
      </w:r>
      <w:r w:rsidRPr="009B6FAB">
        <w:rPr>
          <w:rFonts w:asciiTheme="minorHAnsi" w:eastAsiaTheme="minorHAnsi" w:hAnsiTheme="minorHAnsi"/>
          <w:color w:val="auto"/>
          <w:sz w:val="20"/>
          <w:szCs w:val="20"/>
          <w:lang w:val="sr-Latn-RS" w:eastAsia="en-US"/>
        </w:rPr>
        <w:t>едеће мишљење:</w:t>
      </w:r>
      <w:r w:rsidRPr="009B6FAB">
        <w:rPr>
          <w:rFonts w:asciiTheme="minorHAnsi" w:eastAsia="Calibri" w:hAnsiTheme="minorHAnsi"/>
          <w:color w:val="auto"/>
          <w:sz w:val="20"/>
          <w:szCs w:val="20"/>
          <w:lang w:val="sr-Cyrl-BA" w:eastAsia="en-US"/>
        </w:rPr>
        <w:tab/>
      </w:r>
    </w:p>
    <w:p w:rsidR="00320A3D" w:rsidRPr="009B6FAB" w:rsidRDefault="00320A3D" w:rsidP="00DD5804">
      <w:pPr>
        <w:ind w:right="-142"/>
        <w:rPr>
          <w:rFonts w:asciiTheme="minorHAnsi" w:eastAsia="Calibri" w:hAnsiTheme="minorHAnsi"/>
          <w:color w:val="auto"/>
          <w:sz w:val="20"/>
          <w:szCs w:val="20"/>
          <w:lang w:val="sr-Cyrl-BA" w:eastAsia="en-US"/>
        </w:rPr>
      </w:pPr>
    </w:p>
    <w:p w:rsidR="00320A3D" w:rsidRPr="00195FB5" w:rsidRDefault="00320A3D" w:rsidP="00DD5804">
      <w:pPr>
        <w:rPr>
          <w:rFonts w:asciiTheme="minorHAnsi" w:hAnsiTheme="minorHAnsi"/>
          <w:i/>
          <w:color w:val="auto"/>
          <w:sz w:val="20"/>
          <w:szCs w:val="20"/>
          <w:lang w:val="sr-Cyrl-BA"/>
        </w:rPr>
      </w:pPr>
      <w:r w:rsidRPr="00195FB5">
        <w:rPr>
          <w:rFonts w:asciiTheme="minorHAnsi" w:hAnsiTheme="minorHAnsi"/>
          <w:i/>
          <w:color w:val="auto"/>
          <w:sz w:val="20"/>
          <w:szCs w:val="20"/>
          <w:lang w:val="sr-Cyrl-BA"/>
        </w:rPr>
        <w:t>„</w:t>
      </w:r>
      <w:r w:rsidRPr="00195FB5">
        <w:rPr>
          <w:rFonts w:asciiTheme="minorHAnsi" w:hAnsiTheme="minorHAnsi"/>
          <w:i/>
          <w:color w:val="auto"/>
          <w:sz w:val="20"/>
          <w:szCs w:val="20"/>
          <w:lang w:val="sr-Latn-CS"/>
        </w:rPr>
        <w:t xml:space="preserve">По нашем мишљењу, приложени финансијски извјештаји приказују </w:t>
      </w:r>
      <w:r w:rsidRPr="00195FB5">
        <w:rPr>
          <w:rFonts w:asciiTheme="minorHAnsi" w:hAnsiTheme="minorHAnsi"/>
          <w:b/>
          <w:i/>
          <w:color w:val="auto"/>
          <w:sz w:val="20"/>
          <w:szCs w:val="20"/>
          <w:lang w:val="sr-Latn-CS"/>
        </w:rPr>
        <w:t>истинито и објективно</w:t>
      </w:r>
      <w:r w:rsidRPr="00195FB5">
        <w:rPr>
          <w:rFonts w:asciiTheme="minorHAnsi" w:hAnsiTheme="minorHAnsi"/>
          <w:i/>
          <w:color w:val="auto"/>
          <w:sz w:val="20"/>
          <w:szCs w:val="20"/>
          <w:lang w:val="sr-Latn-CS"/>
        </w:rPr>
        <w:t>, по свим материјално значајним питањима, финансијско стање Фонда, на дан 31. децембра 202</w:t>
      </w:r>
      <w:r w:rsidRPr="00195FB5">
        <w:rPr>
          <w:rFonts w:asciiTheme="minorHAnsi" w:hAnsiTheme="minorHAnsi"/>
          <w:i/>
          <w:color w:val="auto"/>
          <w:sz w:val="20"/>
          <w:szCs w:val="20"/>
          <w:lang w:val="sr-Cyrl-RS"/>
        </w:rPr>
        <w:t>4</w:t>
      </w:r>
      <w:r w:rsidRPr="00195FB5">
        <w:rPr>
          <w:rFonts w:asciiTheme="minorHAnsi" w:hAnsiTheme="minorHAnsi"/>
          <w:i/>
          <w:color w:val="auto"/>
          <w:sz w:val="20"/>
          <w:szCs w:val="20"/>
          <w:lang w:val="sr-Latn-CS"/>
        </w:rPr>
        <w:t xml:space="preserve">.  године, резултате његовог пословања и новчане токове за годину која се завршава на тај дан, </w:t>
      </w:r>
      <w:r w:rsidRPr="00195FB5">
        <w:rPr>
          <w:rFonts w:asciiTheme="minorHAnsi" w:hAnsiTheme="minorHAnsi"/>
          <w:i/>
          <w:color w:val="auto"/>
          <w:sz w:val="20"/>
          <w:szCs w:val="20"/>
          <w:lang w:val="sr-Cyrl-CS"/>
        </w:rPr>
        <w:t>у скл</w:t>
      </w:r>
      <w:r w:rsidRPr="00195FB5">
        <w:rPr>
          <w:rFonts w:asciiTheme="minorHAnsi" w:hAnsiTheme="minorHAnsi"/>
          <w:i/>
          <w:color w:val="auto"/>
          <w:sz w:val="20"/>
          <w:szCs w:val="20"/>
          <w:lang w:val="sr-Latn-CS"/>
        </w:rPr>
        <w:t>а</w:t>
      </w:r>
      <w:r w:rsidRPr="00195FB5">
        <w:rPr>
          <w:rFonts w:asciiTheme="minorHAnsi" w:hAnsiTheme="minorHAnsi"/>
          <w:i/>
          <w:color w:val="auto"/>
          <w:sz w:val="20"/>
          <w:szCs w:val="20"/>
          <w:lang w:val="sr-Cyrl-CS"/>
        </w:rPr>
        <w:t xml:space="preserve">ду с </w:t>
      </w:r>
      <w:r w:rsidRPr="00195FB5">
        <w:rPr>
          <w:rFonts w:asciiTheme="minorHAnsi" w:hAnsiTheme="minorHAnsi"/>
          <w:i/>
          <w:color w:val="auto"/>
          <w:sz w:val="20"/>
          <w:szCs w:val="20"/>
          <w:lang w:val="en-GB"/>
        </w:rPr>
        <w:t>рачуноводственим прописима Републике Српске</w:t>
      </w:r>
      <w:r w:rsidRPr="00195FB5">
        <w:rPr>
          <w:rFonts w:asciiTheme="minorHAnsi" w:hAnsiTheme="minorHAnsi"/>
          <w:i/>
          <w:color w:val="auto"/>
          <w:sz w:val="20"/>
          <w:szCs w:val="20"/>
          <w:lang w:val="sr-Cyrl-BA"/>
        </w:rPr>
        <w:t>“.</w:t>
      </w:r>
    </w:p>
    <w:p w:rsidR="001538EF" w:rsidRPr="00EF4BB3" w:rsidRDefault="001538EF" w:rsidP="00DD5804">
      <w:pPr>
        <w:autoSpaceDE w:val="0"/>
        <w:autoSpaceDN w:val="0"/>
        <w:adjustRightInd w:val="0"/>
        <w:spacing w:line="276" w:lineRule="auto"/>
        <w:rPr>
          <w:rFonts w:asciiTheme="minorHAnsi" w:eastAsiaTheme="minorHAnsi" w:hAnsiTheme="minorHAnsi"/>
          <w:color w:val="FF0000"/>
          <w:sz w:val="20"/>
          <w:szCs w:val="20"/>
          <w:lang w:val="sr-Latn-RS" w:eastAsia="en-US"/>
        </w:rPr>
      </w:pPr>
    </w:p>
    <w:p w:rsidR="001538EF" w:rsidRPr="00EF4BB3" w:rsidRDefault="001538EF" w:rsidP="001538EF">
      <w:pPr>
        <w:autoSpaceDE w:val="0"/>
        <w:autoSpaceDN w:val="0"/>
        <w:adjustRightInd w:val="0"/>
        <w:rPr>
          <w:rFonts w:asciiTheme="minorHAnsi" w:eastAsiaTheme="minorHAnsi" w:hAnsiTheme="minorHAnsi"/>
          <w:color w:val="FF0000"/>
          <w:sz w:val="20"/>
          <w:szCs w:val="20"/>
          <w:lang w:val="sr-Latn-RS" w:eastAsia="en-US"/>
        </w:rPr>
      </w:pPr>
    </w:p>
    <w:p w:rsidR="001538EF" w:rsidRPr="005767EF" w:rsidRDefault="001538EF" w:rsidP="001538EF">
      <w:pPr>
        <w:autoSpaceDE w:val="0"/>
        <w:autoSpaceDN w:val="0"/>
        <w:adjustRightInd w:val="0"/>
        <w:rPr>
          <w:rFonts w:asciiTheme="minorHAnsi" w:eastAsiaTheme="minorHAnsi" w:hAnsiTheme="minorHAnsi"/>
          <w:sz w:val="20"/>
          <w:szCs w:val="20"/>
          <w:lang w:val="sr-Latn-RS" w:eastAsia="en-US"/>
        </w:rPr>
      </w:pPr>
    </w:p>
    <w:p w:rsidR="001538EF" w:rsidRPr="004E2487" w:rsidRDefault="001538EF" w:rsidP="001538EF">
      <w:pPr>
        <w:autoSpaceDE w:val="0"/>
        <w:autoSpaceDN w:val="0"/>
        <w:adjustRightInd w:val="0"/>
        <w:jc w:val="left"/>
        <w:rPr>
          <w:rFonts w:asciiTheme="minorHAnsi" w:eastAsiaTheme="minorHAnsi" w:hAnsiTheme="minorHAnsi"/>
          <w:sz w:val="20"/>
          <w:szCs w:val="20"/>
          <w:lang w:eastAsia="en-US"/>
        </w:rPr>
      </w:pPr>
      <w:r w:rsidRPr="005767EF">
        <w:rPr>
          <w:rFonts w:asciiTheme="minorHAnsi" w:eastAsiaTheme="minorHAnsi" w:hAnsiTheme="minorHAnsi"/>
          <w:sz w:val="20"/>
          <w:szCs w:val="20"/>
          <w:lang w:val="sr-Latn-RS" w:eastAsia="en-US"/>
        </w:rPr>
        <w:t>Број: 02-</w:t>
      </w:r>
      <w:r w:rsidR="00C576B4">
        <w:rPr>
          <w:rFonts w:asciiTheme="minorHAnsi" w:eastAsiaTheme="minorHAnsi" w:hAnsiTheme="minorHAnsi"/>
          <w:sz w:val="20"/>
          <w:szCs w:val="20"/>
          <w:lang w:val="sr-Latn-RS" w:eastAsia="en-US"/>
        </w:rPr>
        <w:t>121</w:t>
      </w:r>
      <w:r w:rsidR="00C83692">
        <w:rPr>
          <w:rFonts w:asciiTheme="minorHAnsi" w:eastAsiaTheme="minorHAnsi" w:hAnsiTheme="minorHAnsi"/>
          <w:sz w:val="20"/>
          <w:szCs w:val="20"/>
          <w:lang w:val="sr-Latn-RS" w:eastAsia="en-US"/>
        </w:rPr>
        <w:t>/2</w:t>
      </w:r>
      <w:r w:rsidR="004E2487">
        <w:rPr>
          <w:rFonts w:asciiTheme="minorHAnsi" w:eastAsiaTheme="minorHAnsi" w:hAnsiTheme="minorHAnsi"/>
          <w:sz w:val="20"/>
          <w:szCs w:val="20"/>
          <w:lang w:eastAsia="en-US"/>
        </w:rPr>
        <w:t>5</w:t>
      </w:r>
    </w:p>
    <w:p w:rsidR="001538EF" w:rsidRPr="006F5BAE" w:rsidRDefault="001538EF" w:rsidP="001538EF">
      <w:pPr>
        <w:autoSpaceDE w:val="0"/>
        <w:autoSpaceDN w:val="0"/>
        <w:adjustRightInd w:val="0"/>
        <w:jc w:val="left"/>
        <w:rPr>
          <w:rFonts w:asciiTheme="minorHAnsi" w:eastAsiaTheme="minorHAnsi" w:hAnsiTheme="minorHAnsi"/>
          <w:color w:val="auto"/>
          <w:sz w:val="20"/>
          <w:szCs w:val="20"/>
          <w:lang w:val="sr-Latn-RS" w:eastAsia="en-US"/>
        </w:rPr>
      </w:pPr>
      <w:r w:rsidRPr="006F5BAE">
        <w:rPr>
          <w:rFonts w:asciiTheme="minorHAnsi" w:eastAsiaTheme="minorHAnsi" w:hAnsiTheme="minorHAnsi"/>
          <w:color w:val="auto"/>
          <w:sz w:val="20"/>
          <w:szCs w:val="20"/>
          <w:lang w:val="sr-Latn-RS" w:eastAsia="en-US"/>
        </w:rPr>
        <w:t>Дана:</w:t>
      </w:r>
      <w:r w:rsidR="0084494C">
        <w:rPr>
          <w:rFonts w:asciiTheme="minorHAnsi" w:eastAsiaTheme="minorHAnsi" w:hAnsiTheme="minorHAnsi"/>
          <w:color w:val="auto"/>
          <w:sz w:val="20"/>
          <w:szCs w:val="20"/>
          <w:lang w:val="sr-Cyrl-RS" w:eastAsia="en-US"/>
        </w:rPr>
        <w:t xml:space="preserve"> 10</w:t>
      </w:r>
      <w:r w:rsidRPr="006F5BAE">
        <w:rPr>
          <w:rFonts w:asciiTheme="minorHAnsi" w:eastAsiaTheme="minorHAnsi" w:hAnsiTheme="minorHAnsi"/>
          <w:color w:val="auto"/>
          <w:sz w:val="20"/>
          <w:szCs w:val="20"/>
          <w:lang w:val="sr-Latn-RS" w:eastAsia="en-US"/>
        </w:rPr>
        <w:t>.0</w:t>
      </w:r>
      <w:r w:rsidR="00093857" w:rsidRPr="006F5BAE">
        <w:rPr>
          <w:rFonts w:asciiTheme="minorHAnsi" w:eastAsiaTheme="minorHAnsi" w:hAnsiTheme="minorHAnsi"/>
          <w:color w:val="auto"/>
          <w:sz w:val="20"/>
          <w:szCs w:val="20"/>
          <w:lang w:val="sr-Cyrl-RS" w:eastAsia="en-US"/>
        </w:rPr>
        <w:t>6</w:t>
      </w:r>
      <w:r w:rsidRPr="006F5BAE">
        <w:rPr>
          <w:rFonts w:asciiTheme="minorHAnsi" w:eastAsiaTheme="minorHAnsi" w:hAnsiTheme="minorHAnsi"/>
          <w:color w:val="auto"/>
          <w:sz w:val="20"/>
          <w:szCs w:val="20"/>
          <w:lang w:val="sr-Latn-RS" w:eastAsia="en-US"/>
        </w:rPr>
        <w:t>.202</w:t>
      </w:r>
      <w:r w:rsidR="004E2487">
        <w:rPr>
          <w:rFonts w:asciiTheme="minorHAnsi" w:eastAsiaTheme="minorHAnsi" w:hAnsiTheme="minorHAnsi"/>
          <w:color w:val="auto"/>
          <w:sz w:val="20"/>
          <w:szCs w:val="20"/>
          <w:lang w:eastAsia="en-US"/>
        </w:rPr>
        <w:t>5</w:t>
      </w:r>
      <w:r w:rsidRPr="006F5BAE">
        <w:rPr>
          <w:rFonts w:asciiTheme="minorHAnsi" w:eastAsiaTheme="minorHAnsi" w:hAnsiTheme="minorHAnsi"/>
          <w:color w:val="auto"/>
          <w:sz w:val="20"/>
          <w:szCs w:val="20"/>
          <w:lang w:val="sr-Latn-RS" w:eastAsia="en-US"/>
        </w:rPr>
        <w:t xml:space="preserve">. </w:t>
      </w:r>
      <w:r w:rsidRPr="006F5BAE">
        <w:rPr>
          <w:rFonts w:asciiTheme="minorHAnsi" w:eastAsiaTheme="minorHAnsi" w:hAnsiTheme="minorHAnsi"/>
          <w:color w:val="auto"/>
          <w:sz w:val="20"/>
          <w:szCs w:val="20"/>
          <w:lang w:val="sr-Cyrl-BA" w:eastAsia="en-US"/>
        </w:rPr>
        <w:t>године</w:t>
      </w:r>
      <w:r w:rsidRPr="006F5BAE">
        <w:rPr>
          <w:rFonts w:asciiTheme="minorHAnsi" w:eastAsiaTheme="minorHAnsi" w:hAnsiTheme="minorHAnsi"/>
          <w:color w:val="auto"/>
          <w:sz w:val="20"/>
          <w:szCs w:val="20"/>
          <w:lang w:val="sr-Latn-RS" w:eastAsia="en-US"/>
        </w:rPr>
        <w:t xml:space="preserve"> </w:t>
      </w:r>
    </w:p>
    <w:p w:rsidR="001538EF" w:rsidRPr="005767EF" w:rsidRDefault="001538EF" w:rsidP="001538EF">
      <w:pPr>
        <w:rPr>
          <w:rFonts w:asciiTheme="minorHAnsi" w:hAnsiTheme="minorHAnsi"/>
          <w:b/>
          <w:caps/>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00C83692">
        <w:rPr>
          <w:rFonts w:asciiTheme="minorHAnsi" w:hAnsiTheme="minorHAnsi"/>
          <w:sz w:val="20"/>
          <w:szCs w:val="20"/>
          <w:lang w:val="sr-Cyrl-RS"/>
        </w:rPr>
        <w:t xml:space="preserve">                         </w:t>
      </w:r>
      <w:r w:rsidRPr="005767EF">
        <w:rPr>
          <w:rFonts w:asciiTheme="minorHAnsi" w:hAnsiTheme="minorHAnsi"/>
          <w:b/>
          <w:caps/>
          <w:sz w:val="20"/>
          <w:szCs w:val="20"/>
          <w:lang w:val="sr-Cyrl-BA"/>
        </w:rPr>
        <w:t>Гарантни фонд Републике Српске</w:t>
      </w:r>
    </w:p>
    <w:p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p>
    <w:p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t xml:space="preserve">        </w:t>
      </w:r>
      <w:r w:rsidR="00C83692">
        <w:rPr>
          <w:rFonts w:asciiTheme="minorHAnsi" w:hAnsiTheme="minorHAnsi"/>
          <w:sz w:val="20"/>
          <w:szCs w:val="20"/>
          <w:lang w:val="sr-Cyrl-BA"/>
        </w:rPr>
        <w:t xml:space="preserve">                                </w:t>
      </w:r>
      <w:r w:rsidRPr="005767EF">
        <w:rPr>
          <w:rFonts w:asciiTheme="minorHAnsi" w:hAnsiTheme="minorHAnsi"/>
          <w:sz w:val="20"/>
          <w:szCs w:val="20"/>
          <w:lang w:val="sr-Cyrl-BA"/>
        </w:rPr>
        <w:t>_________________________________</w:t>
      </w:r>
    </w:p>
    <w:p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00C83692">
        <w:rPr>
          <w:rFonts w:asciiTheme="minorHAnsi" w:hAnsiTheme="minorHAnsi"/>
          <w:sz w:val="20"/>
          <w:szCs w:val="20"/>
          <w:lang w:val="sr-Cyrl-BA"/>
        </w:rPr>
        <w:t xml:space="preserve"> </w:t>
      </w:r>
      <w:r w:rsidRPr="005767EF">
        <w:rPr>
          <w:rFonts w:asciiTheme="minorHAnsi" w:hAnsiTheme="minorHAnsi"/>
          <w:sz w:val="20"/>
          <w:szCs w:val="20"/>
          <w:lang w:val="sr-Cyrl-BA"/>
        </w:rPr>
        <w:tab/>
      </w:r>
      <w:r w:rsidRPr="005767EF">
        <w:rPr>
          <w:rFonts w:asciiTheme="minorHAnsi" w:hAnsiTheme="minorHAnsi"/>
          <w:sz w:val="20"/>
          <w:szCs w:val="20"/>
          <w:lang w:val="sr-Cyrl-BA"/>
        </w:rPr>
        <w:tab/>
        <w:t xml:space="preserve">   </w:t>
      </w:r>
      <w:r w:rsidRPr="005767EF">
        <w:rPr>
          <w:rFonts w:asciiTheme="minorHAnsi" w:hAnsiTheme="minorHAnsi"/>
          <w:sz w:val="20"/>
          <w:szCs w:val="20"/>
          <w:lang w:val="sr-Cyrl-BA"/>
        </w:rPr>
        <w:tab/>
      </w:r>
    </w:p>
    <w:p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 xml:space="preserve">                                                                                                                   </w:t>
      </w:r>
      <w:r w:rsidR="00C83692">
        <w:rPr>
          <w:rFonts w:asciiTheme="minorHAnsi" w:hAnsiTheme="minorHAnsi"/>
          <w:sz w:val="20"/>
          <w:szCs w:val="20"/>
          <w:lang w:val="sr-Cyrl-BA"/>
        </w:rPr>
        <w:t xml:space="preserve">                          </w:t>
      </w:r>
      <w:r w:rsidR="00A40E1F">
        <w:rPr>
          <w:rFonts w:asciiTheme="minorHAnsi" w:hAnsiTheme="minorHAnsi"/>
          <w:sz w:val="20"/>
          <w:szCs w:val="20"/>
        </w:rPr>
        <w:t xml:space="preserve">    </w:t>
      </w:r>
      <w:r w:rsidR="00C83692">
        <w:rPr>
          <w:rFonts w:asciiTheme="minorHAnsi" w:hAnsiTheme="minorHAnsi"/>
          <w:sz w:val="20"/>
          <w:szCs w:val="20"/>
          <w:lang w:val="sr-Cyrl-BA"/>
        </w:rPr>
        <w:t>Директо</w:t>
      </w:r>
      <w:r w:rsidRPr="005767EF">
        <w:rPr>
          <w:rFonts w:asciiTheme="minorHAnsi" w:hAnsiTheme="minorHAnsi"/>
          <w:sz w:val="20"/>
          <w:szCs w:val="20"/>
          <w:lang w:val="sr-Cyrl-BA"/>
        </w:rPr>
        <w:t>р</w:t>
      </w:r>
    </w:p>
    <w:p w:rsidR="001538EF" w:rsidRPr="005767EF" w:rsidRDefault="001538EF" w:rsidP="001538EF">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00C83692">
        <w:rPr>
          <w:rFonts w:asciiTheme="minorHAnsi" w:hAnsiTheme="minorHAnsi"/>
          <w:sz w:val="20"/>
          <w:szCs w:val="20"/>
          <w:lang w:val="sr-Cyrl-BA"/>
        </w:rPr>
        <w:t xml:space="preserve">                                 Невен Бућан</w:t>
      </w:r>
    </w:p>
    <w:p w:rsidR="001538EF" w:rsidRPr="001538EF" w:rsidRDefault="001538EF" w:rsidP="001538EF">
      <w:pPr>
        <w:rPr>
          <w:sz w:val="22"/>
          <w:szCs w:val="22"/>
          <w:lang w:val="sr-Cyrl-CS" w:eastAsia="sr-Cyrl-CS"/>
        </w:rPr>
      </w:pPr>
    </w:p>
    <w:p w:rsidR="005F70EB" w:rsidRPr="001538EF" w:rsidRDefault="005F70EB"/>
    <w:sectPr w:rsidR="005F70EB" w:rsidRPr="001538EF" w:rsidSect="00C12ECB">
      <w:headerReference w:type="default" r:id="rId9"/>
      <w:footerReference w:type="default" r:id="rId10"/>
      <w:pgSz w:w="11906" w:h="16838" w:code="9"/>
      <w:pgMar w:top="1418" w:right="1418"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C14" w:rsidRDefault="00777C14" w:rsidP="001538EF">
      <w:r>
        <w:separator/>
      </w:r>
    </w:p>
  </w:endnote>
  <w:endnote w:type="continuationSeparator" w:id="0">
    <w:p w:rsidR="00777C14" w:rsidRDefault="00777C14" w:rsidP="0015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MPEGO+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66804"/>
      <w:docPartObj>
        <w:docPartGallery w:val="Page Numbers (Bottom of Page)"/>
        <w:docPartUnique/>
      </w:docPartObj>
    </w:sdtPr>
    <w:sdtEndPr>
      <w:rPr>
        <w:noProof/>
      </w:rPr>
    </w:sdtEndPr>
    <w:sdtContent>
      <w:p w:rsidR="00714BA7" w:rsidRDefault="00714BA7" w:rsidP="001538EF">
        <w:pPr>
          <w:pStyle w:val="Footer"/>
          <w:pBdr>
            <w:top w:val="single" w:sz="4" w:space="1" w:color="auto"/>
          </w:pBdr>
          <w:jc w:val="right"/>
        </w:pPr>
        <w:r>
          <w:fldChar w:fldCharType="begin"/>
        </w:r>
        <w:r>
          <w:instrText xml:space="preserve"> PAGE   \* MERGEFORMAT </w:instrText>
        </w:r>
        <w:r>
          <w:fldChar w:fldCharType="separate"/>
        </w:r>
        <w:r w:rsidR="002E4B9F">
          <w:rPr>
            <w:noProof/>
          </w:rPr>
          <w:t>2</w:t>
        </w:r>
        <w:r>
          <w:rPr>
            <w:noProof/>
          </w:rPr>
          <w:fldChar w:fldCharType="end"/>
        </w:r>
      </w:p>
    </w:sdtContent>
  </w:sdt>
  <w:p w:rsidR="00714BA7" w:rsidRDefault="00714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C14" w:rsidRDefault="00777C14" w:rsidP="001538EF">
      <w:r>
        <w:separator/>
      </w:r>
    </w:p>
  </w:footnote>
  <w:footnote w:type="continuationSeparator" w:id="0">
    <w:p w:rsidR="00777C14" w:rsidRDefault="00777C14" w:rsidP="00153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A7" w:rsidRPr="005443CD" w:rsidRDefault="00714BA7" w:rsidP="001538EF">
    <w:pPr>
      <w:pStyle w:val="Header"/>
      <w:pBdr>
        <w:bottom w:val="single" w:sz="4" w:space="1" w:color="auto"/>
      </w:pBdr>
      <w:tabs>
        <w:tab w:val="clear" w:pos="4320"/>
        <w:tab w:val="clear" w:pos="8640"/>
        <w:tab w:val="right" w:pos="9356"/>
      </w:tabs>
      <w:jc w:val="left"/>
      <w:rPr>
        <w:i/>
        <w:color w:val="000000" w:themeColor="text1"/>
        <w:sz w:val="20"/>
        <w:szCs w:val="20"/>
      </w:rPr>
    </w:pPr>
    <w:r>
      <w:rPr>
        <w:noProof/>
        <w:lang w:val="en-US" w:eastAsia="en-US"/>
      </w:rPr>
      <w:drawing>
        <wp:inline distT="0" distB="0" distL="0" distR="0" wp14:anchorId="337F3241" wp14:editId="31B7AA4D">
          <wp:extent cx="907655" cy="320331"/>
          <wp:effectExtent l="0" t="0" r="698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dopunske varijante.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7650" cy="320329"/>
                  </a:xfrm>
                  <a:prstGeom prst="rect">
                    <a:avLst/>
                  </a:prstGeom>
                </pic:spPr>
              </pic:pic>
            </a:graphicData>
          </a:graphic>
        </wp:inline>
      </w:drawing>
    </w:r>
    <w:r>
      <w:rPr>
        <w:i/>
        <w:color w:val="000000" w:themeColor="text1"/>
        <w:sz w:val="20"/>
        <w:szCs w:val="20"/>
        <w:lang w:val="sr-Cyrl-BA"/>
      </w:rPr>
      <w:t xml:space="preserve">                              </w:t>
    </w:r>
    <w:r w:rsidRPr="005443CD">
      <w:rPr>
        <w:i/>
        <w:color w:val="000000" w:themeColor="text1"/>
        <w:sz w:val="20"/>
        <w:szCs w:val="20"/>
        <w:lang w:val="sr-Cyrl-BA"/>
      </w:rPr>
      <w:t>Извјештај о раду и послова</w:t>
    </w:r>
    <w:r w:rsidR="00E902E2">
      <w:rPr>
        <w:i/>
        <w:color w:val="000000" w:themeColor="text1"/>
        <w:sz w:val="20"/>
        <w:szCs w:val="20"/>
        <w:lang w:val="sr-Cyrl-BA"/>
      </w:rPr>
      <w:t>њу Гарантног фонда РС за 202</w:t>
    </w:r>
    <w:r w:rsidR="00E902E2">
      <w:rPr>
        <w:i/>
        <w:color w:val="000000" w:themeColor="text1"/>
        <w:sz w:val="20"/>
        <w:szCs w:val="20"/>
      </w:rPr>
      <w:t>4</w:t>
    </w:r>
    <w:r>
      <w:rPr>
        <w:i/>
        <w:color w:val="000000" w:themeColor="text1"/>
        <w:sz w:val="20"/>
        <w:szCs w:val="20"/>
        <w:lang w:val="sr-Cyrl-BA"/>
      </w:rPr>
      <w:t>. годину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92F"/>
    <w:multiLevelType w:val="hybridMultilevel"/>
    <w:tmpl w:val="40F6671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7656FF1"/>
    <w:multiLevelType w:val="multilevel"/>
    <w:tmpl w:val="84D2EA00"/>
    <w:styleLink w:val="Stil2"/>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2" w15:restartNumberingAfterBreak="0">
    <w:nsid w:val="08350EA9"/>
    <w:multiLevelType w:val="hybridMultilevel"/>
    <w:tmpl w:val="5D841CB0"/>
    <w:lvl w:ilvl="0" w:tplc="241A0001">
      <w:start w:val="1"/>
      <w:numFmt w:val="bullet"/>
      <w:lvlText w:val=""/>
      <w:lvlJc w:val="left"/>
      <w:pPr>
        <w:ind w:left="1068" w:hanging="360"/>
      </w:pPr>
      <w:rPr>
        <w:rFonts w:ascii="Symbol" w:hAnsi="Symbol" w:hint="default"/>
      </w:rPr>
    </w:lvl>
    <w:lvl w:ilvl="1" w:tplc="241A0003">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 w15:restartNumberingAfterBreak="0">
    <w:nsid w:val="0C2636D8"/>
    <w:multiLevelType w:val="multilevel"/>
    <w:tmpl w:val="B9466AC8"/>
    <w:styleLink w:val="Stil1"/>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EA5509"/>
    <w:multiLevelType w:val="hybridMultilevel"/>
    <w:tmpl w:val="12CA3598"/>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5" w15:restartNumberingAfterBreak="0">
    <w:nsid w:val="29376F85"/>
    <w:multiLevelType w:val="hybridMultilevel"/>
    <w:tmpl w:val="26AC2148"/>
    <w:lvl w:ilvl="0" w:tplc="C17676FC">
      <w:numFmt w:val="bullet"/>
      <w:lvlText w:val="-"/>
      <w:lvlJc w:val="left"/>
      <w:pPr>
        <w:ind w:left="1428"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6" w15:restartNumberingAfterBreak="0">
    <w:nsid w:val="2C67189E"/>
    <w:multiLevelType w:val="hybridMultilevel"/>
    <w:tmpl w:val="4BD6B5F6"/>
    <w:lvl w:ilvl="0" w:tplc="239452E8">
      <w:start w:val="1"/>
      <w:numFmt w:val="upperRoman"/>
      <w:pStyle w:val="Glava"/>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2CCD5E83"/>
    <w:multiLevelType w:val="hybridMultilevel"/>
    <w:tmpl w:val="2DC65746"/>
    <w:lvl w:ilvl="0" w:tplc="C17676FC">
      <w:numFmt w:val="bullet"/>
      <w:lvlText w:val="-"/>
      <w:lvlJc w:val="left"/>
      <w:pPr>
        <w:ind w:left="2892"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612" w:hanging="360"/>
      </w:pPr>
      <w:rPr>
        <w:rFonts w:ascii="Courier New" w:hAnsi="Courier New" w:cs="Courier New" w:hint="default"/>
      </w:rPr>
    </w:lvl>
    <w:lvl w:ilvl="2" w:tplc="241A0005" w:tentative="1">
      <w:start w:val="1"/>
      <w:numFmt w:val="bullet"/>
      <w:lvlText w:val=""/>
      <w:lvlJc w:val="left"/>
      <w:pPr>
        <w:ind w:left="4332" w:hanging="360"/>
      </w:pPr>
      <w:rPr>
        <w:rFonts w:ascii="Wingdings" w:hAnsi="Wingdings" w:hint="default"/>
      </w:rPr>
    </w:lvl>
    <w:lvl w:ilvl="3" w:tplc="241A0001" w:tentative="1">
      <w:start w:val="1"/>
      <w:numFmt w:val="bullet"/>
      <w:lvlText w:val=""/>
      <w:lvlJc w:val="left"/>
      <w:pPr>
        <w:ind w:left="5052" w:hanging="360"/>
      </w:pPr>
      <w:rPr>
        <w:rFonts w:ascii="Symbol" w:hAnsi="Symbol" w:hint="default"/>
      </w:rPr>
    </w:lvl>
    <w:lvl w:ilvl="4" w:tplc="241A0003" w:tentative="1">
      <w:start w:val="1"/>
      <w:numFmt w:val="bullet"/>
      <w:lvlText w:val="o"/>
      <w:lvlJc w:val="left"/>
      <w:pPr>
        <w:ind w:left="5772" w:hanging="360"/>
      </w:pPr>
      <w:rPr>
        <w:rFonts w:ascii="Courier New" w:hAnsi="Courier New" w:cs="Courier New" w:hint="default"/>
      </w:rPr>
    </w:lvl>
    <w:lvl w:ilvl="5" w:tplc="241A0005" w:tentative="1">
      <w:start w:val="1"/>
      <w:numFmt w:val="bullet"/>
      <w:lvlText w:val=""/>
      <w:lvlJc w:val="left"/>
      <w:pPr>
        <w:ind w:left="6492" w:hanging="360"/>
      </w:pPr>
      <w:rPr>
        <w:rFonts w:ascii="Wingdings" w:hAnsi="Wingdings" w:hint="default"/>
      </w:rPr>
    </w:lvl>
    <w:lvl w:ilvl="6" w:tplc="241A0001" w:tentative="1">
      <w:start w:val="1"/>
      <w:numFmt w:val="bullet"/>
      <w:lvlText w:val=""/>
      <w:lvlJc w:val="left"/>
      <w:pPr>
        <w:ind w:left="7212" w:hanging="360"/>
      </w:pPr>
      <w:rPr>
        <w:rFonts w:ascii="Symbol" w:hAnsi="Symbol" w:hint="default"/>
      </w:rPr>
    </w:lvl>
    <w:lvl w:ilvl="7" w:tplc="241A0003" w:tentative="1">
      <w:start w:val="1"/>
      <w:numFmt w:val="bullet"/>
      <w:lvlText w:val="o"/>
      <w:lvlJc w:val="left"/>
      <w:pPr>
        <w:ind w:left="7932" w:hanging="360"/>
      </w:pPr>
      <w:rPr>
        <w:rFonts w:ascii="Courier New" w:hAnsi="Courier New" w:cs="Courier New" w:hint="default"/>
      </w:rPr>
    </w:lvl>
    <w:lvl w:ilvl="8" w:tplc="241A0005" w:tentative="1">
      <w:start w:val="1"/>
      <w:numFmt w:val="bullet"/>
      <w:lvlText w:val=""/>
      <w:lvlJc w:val="left"/>
      <w:pPr>
        <w:ind w:left="8652" w:hanging="360"/>
      </w:pPr>
      <w:rPr>
        <w:rFonts w:ascii="Wingdings" w:hAnsi="Wingdings" w:hint="default"/>
      </w:rPr>
    </w:lvl>
  </w:abstractNum>
  <w:abstractNum w:abstractNumId="8" w15:restartNumberingAfterBreak="0">
    <w:nsid w:val="322E4E1E"/>
    <w:multiLevelType w:val="hybridMultilevel"/>
    <w:tmpl w:val="9E56F0B2"/>
    <w:lvl w:ilvl="0" w:tplc="78724BCE">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E6322C7"/>
    <w:multiLevelType w:val="multilevel"/>
    <w:tmpl w:val="6902FC4C"/>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576" w:hanging="576"/>
      </w:pPr>
    </w:lvl>
    <w:lvl w:ilvl="2">
      <w:start w:val="1"/>
      <w:numFmt w:val="decimal"/>
      <w:pStyle w:val="Heading31"/>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10" w15:restartNumberingAfterBreak="0">
    <w:nsid w:val="461E3AD3"/>
    <w:multiLevelType w:val="hybridMultilevel"/>
    <w:tmpl w:val="709ECA5C"/>
    <w:lvl w:ilvl="0" w:tplc="AE06C1BA">
      <w:start w:val="1"/>
      <w:numFmt w:val="decimal"/>
      <w:pStyle w:val="lan"/>
      <w:lvlText w:val="Члан %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15:restartNumberingAfterBreak="0">
    <w:nsid w:val="4A8505C1"/>
    <w:multiLevelType w:val="multilevel"/>
    <w:tmpl w:val="AEBC09C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C6D3AAE"/>
    <w:multiLevelType w:val="hybridMultilevel"/>
    <w:tmpl w:val="F17A8E2A"/>
    <w:lvl w:ilvl="0" w:tplc="1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500219D3"/>
    <w:multiLevelType w:val="hybridMultilevel"/>
    <w:tmpl w:val="F9305886"/>
    <w:lvl w:ilvl="0" w:tplc="9DA40474">
      <w:start w:val="1"/>
      <w:numFmt w:val="decimal"/>
      <w:pStyle w:val="Num-Stav"/>
      <w:lvlText w:val="(%1)"/>
      <w:lvlJc w:val="left"/>
      <w:pPr>
        <w:ind w:left="360" w:hanging="360"/>
      </w:pPr>
      <w:rPr>
        <w:rFonts w:hint="default"/>
        <w:b w:val="0"/>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14" w15:restartNumberingAfterBreak="0">
    <w:nsid w:val="55BD7D54"/>
    <w:multiLevelType w:val="hybridMultilevel"/>
    <w:tmpl w:val="8102BFF0"/>
    <w:lvl w:ilvl="0" w:tplc="241A0001">
      <w:start w:val="1"/>
      <w:numFmt w:val="bullet"/>
      <w:lvlText w:val=""/>
      <w:lvlJc w:val="left"/>
      <w:pPr>
        <w:ind w:left="720" w:hanging="360"/>
      </w:pPr>
      <w:rPr>
        <w:rFonts w:ascii="Symbol" w:hAnsi="Symbol"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5" w15:restartNumberingAfterBreak="0">
    <w:nsid w:val="564C6828"/>
    <w:multiLevelType w:val="hybridMultilevel"/>
    <w:tmpl w:val="436C17F6"/>
    <w:lvl w:ilvl="0" w:tplc="9F96AC44">
      <w:start w:val="1"/>
      <w:numFmt w:val="bullet"/>
      <w:pStyle w:val="Oznacavanje"/>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087FD2"/>
    <w:multiLevelType w:val="multilevel"/>
    <w:tmpl w:val="4EAEDADC"/>
    <w:styleLink w:val="Stil5"/>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7" w15:restartNumberingAfterBreak="0">
    <w:nsid w:val="65814A95"/>
    <w:multiLevelType w:val="hybridMultilevel"/>
    <w:tmpl w:val="FBF21E6E"/>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abstractNum w:abstractNumId="18" w15:restartNumberingAfterBreak="0">
    <w:nsid w:val="65A114D6"/>
    <w:multiLevelType w:val="hybridMultilevel"/>
    <w:tmpl w:val="0E32D336"/>
    <w:lvl w:ilvl="0" w:tplc="C17676FC">
      <w:numFmt w:val="bullet"/>
      <w:lvlText w:val="-"/>
      <w:lvlJc w:val="left"/>
      <w:pPr>
        <w:ind w:left="2148" w:hanging="360"/>
      </w:pPr>
      <w:rPr>
        <w:rFonts w:ascii="Times New Roman" w:eastAsia="Times New Roman" w:hAnsi="Times New Roman" w:cs="Times New Roman" w:hint="default"/>
        <w:spacing w:val="-2"/>
        <w:w w:val="99"/>
        <w:sz w:val="18"/>
        <w:szCs w:val="18"/>
      </w:rPr>
    </w:lvl>
    <w:lvl w:ilvl="1" w:tplc="181A0003" w:tentative="1">
      <w:start w:val="1"/>
      <w:numFmt w:val="bullet"/>
      <w:lvlText w:val="o"/>
      <w:lvlJc w:val="left"/>
      <w:pPr>
        <w:ind w:left="2868" w:hanging="360"/>
      </w:pPr>
      <w:rPr>
        <w:rFonts w:ascii="Courier New" w:hAnsi="Courier New" w:cs="Courier New" w:hint="default"/>
      </w:rPr>
    </w:lvl>
    <w:lvl w:ilvl="2" w:tplc="181A0005" w:tentative="1">
      <w:start w:val="1"/>
      <w:numFmt w:val="bullet"/>
      <w:lvlText w:val=""/>
      <w:lvlJc w:val="left"/>
      <w:pPr>
        <w:ind w:left="3588" w:hanging="360"/>
      </w:pPr>
      <w:rPr>
        <w:rFonts w:ascii="Wingdings" w:hAnsi="Wingdings" w:hint="default"/>
      </w:rPr>
    </w:lvl>
    <w:lvl w:ilvl="3" w:tplc="181A0001" w:tentative="1">
      <w:start w:val="1"/>
      <w:numFmt w:val="bullet"/>
      <w:lvlText w:val=""/>
      <w:lvlJc w:val="left"/>
      <w:pPr>
        <w:ind w:left="4308" w:hanging="360"/>
      </w:pPr>
      <w:rPr>
        <w:rFonts w:ascii="Symbol" w:hAnsi="Symbol" w:hint="default"/>
      </w:rPr>
    </w:lvl>
    <w:lvl w:ilvl="4" w:tplc="181A0003" w:tentative="1">
      <w:start w:val="1"/>
      <w:numFmt w:val="bullet"/>
      <w:lvlText w:val="o"/>
      <w:lvlJc w:val="left"/>
      <w:pPr>
        <w:ind w:left="5028" w:hanging="360"/>
      </w:pPr>
      <w:rPr>
        <w:rFonts w:ascii="Courier New" w:hAnsi="Courier New" w:cs="Courier New" w:hint="default"/>
      </w:rPr>
    </w:lvl>
    <w:lvl w:ilvl="5" w:tplc="181A0005" w:tentative="1">
      <w:start w:val="1"/>
      <w:numFmt w:val="bullet"/>
      <w:lvlText w:val=""/>
      <w:lvlJc w:val="left"/>
      <w:pPr>
        <w:ind w:left="5748" w:hanging="360"/>
      </w:pPr>
      <w:rPr>
        <w:rFonts w:ascii="Wingdings" w:hAnsi="Wingdings" w:hint="default"/>
      </w:rPr>
    </w:lvl>
    <w:lvl w:ilvl="6" w:tplc="181A0001" w:tentative="1">
      <w:start w:val="1"/>
      <w:numFmt w:val="bullet"/>
      <w:lvlText w:val=""/>
      <w:lvlJc w:val="left"/>
      <w:pPr>
        <w:ind w:left="6468" w:hanging="360"/>
      </w:pPr>
      <w:rPr>
        <w:rFonts w:ascii="Symbol" w:hAnsi="Symbol" w:hint="default"/>
      </w:rPr>
    </w:lvl>
    <w:lvl w:ilvl="7" w:tplc="181A0003" w:tentative="1">
      <w:start w:val="1"/>
      <w:numFmt w:val="bullet"/>
      <w:lvlText w:val="o"/>
      <w:lvlJc w:val="left"/>
      <w:pPr>
        <w:ind w:left="7188" w:hanging="360"/>
      </w:pPr>
      <w:rPr>
        <w:rFonts w:ascii="Courier New" w:hAnsi="Courier New" w:cs="Courier New" w:hint="default"/>
      </w:rPr>
    </w:lvl>
    <w:lvl w:ilvl="8" w:tplc="181A0005" w:tentative="1">
      <w:start w:val="1"/>
      <w:numFmt w:val="bullet"/>
      <w:lvlText w:val=""/>
      <w:lvlJc w:val="left"/>
      <w:pPr>
        <w:ind w:left="7908" w:hanging="360"/>
      </w:pPr>
      <w:rPr>
        <w:rFonts w:ascii="Wingdings" w:hAnsi="Wingdings" w:hint="default"/>
      </w:rPr>
    </w:lvl>
  </w:abstractNum>
  <w:abstractNum w:abstractNumId="19" w15:restartNumberingAfterBreak="0">
    <w:nsid w:val="6A370028"/>
    <w:multiLevelType w:val="hybridMultilevel"/>
    <w:tmpl w:val="F84633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B864EBE"/>
    <w:multiLevelType w:val="hybridMultilevel"/>
    <w:tmpl w:val="2B5CE2E4"/>
    <w:lvl w:ilvl="0" w:tplc="08090001">
      <w:start w:val="1"/>
      <w:numFmt w:val="bullet"/>
      <w:lvlText w:val=""/>
      <w:lvlJc w:val="left"/>
      <w:pPr>
        <w:ind w:left="2136" w:hanging="360"/>
      </w:pPr>
      <w:rPr>
        <w:rFonts w:ascii="Symbol" w:hAnsi="Symbol" w:hint="default"/>
        <w:spacing w:val="-2"/>
        <w:w w:val="99"/>
        <w:sz w:val="18"/>
        <w:szCs w:val="18"/>
      </w:rPr>
    </w:lvl>
    <w:lvl w:ilvl="1" w:tplc="241A0003">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1" w15:restartNumberingAfterBreak="0">
    <w:nsid w:val="6C2F1AF7"/>
    <w:multiLevelType w:val="hybridMultilevel"/>
    <w:tmpl w:val="55F895B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15:restartNumberingAfterBreak="0">
    <w:nsid w:val="6E503475"/>
    <w:multiLevelType w:val="hybridMultilevel"/>
    <w:tmpl w:val="5A643E90"/>
    <w:lvl w:ilvl="0" w:tplc="08090001">
      <w:start w:val="1"/>
      <w:numFmt w:val="bullet"/>
      <w:lvlText w:val=""/>
      <w:lvlJc w:val="left"/>
      <w:pPr>
        <w:ind w:left="2136" w:hanging="360"/>
      </w:pPr>
      <w:rPr>
        <w:rFonts w:ascii="Symbol" w:hAnsi="Symbo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3" w15:restartNumberingAfterBreak="0">
    <w:nsid w:val="6F9C0615"/>
    <w:multiLevelType w:val="multilevel"/>
    <w:tmpl w:val="C1706A56"/>
    <w:styleLink w:val="Numerisanje"/>
    <w:lvl w:ilvl="0">
      <w:start w:val="1"/>
      <w:numFmt w:val="upperRoman"/>
      <w:lvlText w:val="%1"/>
      <w:lvlJc w:val="left"/>
      <w:pPr>
        <w:ind w:left="567" w:hanging="567"/>
      </w:pPr>
      <w:rPr>
        <w:rFonts w:ascii="Times New Roman" w:hAnsi="Times New Roman" w:hint="default"/>
        <w:b/>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1BE5C68"/>
    <w:multiLevelType w:val="hybridMultilevel"/>
    <w:tmpl w:val="A87624CE"/>
    <w:lvl w:ilvl="0" w:tplc="2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B5036"/>
    <w:multiLevelType w:val="hybridMultilevel"/>
    <w:tmpl w:val="3B76A7F8"/>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6" w15:restartNumberingAfterBreak="0">
    <w:nsid w:val="735F5CF6"/>
    <w:multiLevelType w:val="hybridMultilevel"/>
    <w:tmpl w:val="508ECA92"/>
    <w:lvl w:ilvl="0" w:tplc="241A000F">
      <w:start w:val="1"/>
      <w:numFmt w:val="decimal"/>
      <w:lvlText w:val="%1."/>
      <w:lvlJc w:val="left"/>
      <w:pPr>
        <w:ind w:left="2136" w:hanging="360"/>
      </w:pPr>
    </w:lvl>
    <w:lvl w:ilvl="1" w:tplc="241A0019" w:tentative="1">
      <w:start w:val="1"/>
      <w:numFmt w:val="lowerLetter"/>
      <w:lvlText w:val="%2."/>
      <w:lvlJc w:val="left"/>
      <w:pPr>
        <w:ind w:left="2856" w:hanging="360"/>
      </w:pPr>
    </w:lvl>
    <w:lvl w:ilvl="2" w:tplc="241A001B" w:tentative="1">
      <w:start w:val="1"/>
      <w:numFmt w:val="lowerRoman"/>
      <w:lvlText w:val="%3."/>
      <w:lvlJc w:val="right"/>
      <w:pPr>
        <w:ind w:left="3576" w:hanging="180"/>
      </w:pPr>
    </w:lvl>
    <w:lvl w:ilvl="3" w:tplc="241A000F" w:tentative="1">
      <w:start w:val="1"/>
      <w:numFmt w:val="decimal"/>
      <w:lvlText w:val="%4."/>
      <w:lvlJc w:val="left"/>
      <w:pPr>
        <w:ind w:left="4296" w:hanging="360"/>
      </w:pPr>
    </w:lvl>
    <w:lvl w:ilvl="4" w:tplc="241A0019" w:tentative="1">
      <w:start w:val="1"/>
      <w:numFmt w:val="lowerLetter"/>
      <w:lvlText w:val="%5."/>
      <w:lvlJc w:val="left"/>
      <w:pPr>
        <w:ind w:left="5016" w:hanging="360"/>
      </w:pPr>
    </w:lvl>
    <w:lvl w:ilvl="5" w:tplc="241A001B" w:tentative="1">
      <w:start w:val="1"/>
      <w:numFmt w:val="lowerRoman"/>
      <w:lvlText w:val="%6."/>
      <w:lvlJc w:val="right"/>
      <w:pPr>
        <w:ind w:left="5736" w:hanging="180"/>
      </w:pPr>
    </w:lvl>
    <w:lvl w:ilvl="6" w:tplc="241A000F" w:tentative="1">
      <w:start w:val="1"/>
      <w:numFmt w:val="decimal"/>
      <w:lvlText w:val="%7."/>
      <w:lvlJc w:val="left"/>
      <w:pPr>
        <w:ind w:left="6456" w:hanging="360"/>
      </w:pPr>
    </w:lvl>
    <w:lvl w:ilvl="7" w:tplc="241A0019" w:tentative="1">
      <w:start w:val="1"/>
      <w:numFmt w:val="lowerLetter"/>
      <w:lvlText w:val="%8."/>
      <w:lvlJc w:val="left"/>
      <w:pPr>
        <w:ind w:left="7176" w:hanging="360"/>
      </w:pPr>
    </w:lvl>
    <w:lvl w:ilvl="8" w:tplc="241A001B" w:tentative="1">
      <w:start w:val="1"/>
      <w:numFmt w:val="lowerRoman"/>
      <w:lvlText w:val="%9."/>
      <w:lvlJc w:val="right"/>
      <w:pPr>
        <w:ind w:left="7896" w:hanging="180"/>
      </w:pPr>
    </w:lvl>
  </w:abstractNum>
  <w:abstractNum w:abstractNumId="27" w15:restartNumberingAfterBreak="0">
    <w:nsid w:val="79AA3721"/>
    <w:multiLevelType w:val="hybridMultilevel"/>
    <w:tmpl w:val="85DE312C"/>
    <w:lvl w:ilvl="0" w:tplc="08090001">
      <w:start w:val="1"/>
      <w:numFmt w:val="bullet"/>
      <w:lvlText w:val=""/>
      <w:lvlJc w:val="left"/>
      <w:pPr>
        <w:ind w:left="2136" w:hanging="360"/>
      </w:pPr>
      <w:rPr>
        <w:rFonts w:ascii="Symbol" w:hAnsi="Symbol" w:hint="default"/>
      </w:rPr>
    </w:lvl>
    <w:lvl w:ilvl="1" w:tplc="C74A0564">
      <w:numFmt w:val="bullet"/>
      <w:lvlText w:val="•"/>
      <w:lvlJc w:val="left"/>
      <w:pPr>
        <w:ind w:left="2856" w:hanging="360"/>
      </w:pPr>
      <w:rPr>
        <w:rFonts w:ascii="Calibri" w:eastAsiaTheme="minorHAnsi" w:hAnsi="Calibri" w:cs="Calibri"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8" w15:restartNumberingAfterBreak="0">
    <w:nsid w:val="79E229B7"/>
    <w:multiLevelType w:val="hybridMultilevel"/>
    <w:tmpl w:val="17D0D1EA"/>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num w:numId="1">
    <w:abstractNumId w:val="13"/>
  </w:num>
  <w:num w:numId="2">
    <w:abstractNumId w:val="6"/>
  </w:num>
  <w:num w:numId="3">
    <w:abstractNumId w:val="15"/>
  </w:num>
  <w:num w:numId="4">
    <w:abstractNumId w:val="23"/>
  </w:num>
  <w:num w:numId="5">
    <w:abstractNumId w:val="10"/>
  </w:num>
  <w:num w:numId="6">
    <w:abstractNumId w:val="3"/>
  </w:num>
  <w:num w:numId="7">
    <w:abstractNumId w:val="14"/>
  </w:num>
  <w:num w:numId="8">
    <w:abstractNumId w:val="24"/>
  </w:num>
  <w:num w:numId="9">
    <w:abstractNumId w:val="19"/>
  </w:num>
  <w:num w:numId="10">
    <w:abstractNumId w:val="25"/>
  </w:num>
  <w:num w:numId="11">
    <w:abstractNumId w:val="0"/>
  </w:num>
  <w:num w:numId="12">
    <w:abstractNumId w:val="1"/>
  </w:num>
  <w:num w:numId="13">
    <w:abstractNumId w:val="16"/>
  </w:num>
  <w:num w:numId="14">
    <w:abstractNumId w:val="2"/>
  </w:num>
  <w:num w:numId="15">
    <w:abstractNumId w:val="5"/>
  </w:num>
  <w:num w:numId="16">
    <w:abstractNumId w:val="4"/>
  </w:num>
  <w:num w:numId="17">
    <w:abstractNumId w:val="9"/>
  </w:num>
  <w:num w:numId="18">
    <w:abstractNumId w:val="11"/>
  </w:num>
  <w:num w:numId="19">
    <w:abstractNumId w:val="12"/>
  </w:num>
  <w:num w:numId="20">
    <w:abstractNumId w:val="28"/>
  </w:num>
  <w:num w:numId="21">
    <w:abstractNumId w:val="20"/>
  </w:num>
  <w:num w:numId="22">
    <w:abstractNumId w:val="27"/>
  </w:num>
  <w:num w:numId="23">
    <w:abstractNumId w:val="17"/>
  </w:num>
  <w:num w:numId="24">
    <w:abstractNumId w:val="7"/>
  </w:num>
  <w:num w:numId="25">
    <w:abstractNumId w:val="22"/>
  </w:num>
  <w:num w:numId="26">
    <w:abstractNumId w:val="26"/>
  </w:num>
  <w:num w:numId="27">
    <w:abstractNumId w:val="8"/>
  </w:num>
  <w:num w:numId="28">
    <w:abstractNumId w:val="1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8EF"/>
    <w:rsid w:val="00000520"/>
    <w:rsid w:val="00002758"/>
    <w:rsid w:val="00010815"/>
    <w:rsid w:val="0001135A"/>
    <w:rsid w:val="0001230C"/>
    <w:rsid w:val="00012A2A"/>
    <w:rsid w:val="00013EC5"/>
    <w:rsid w:val="00014B23"/>
    <w:rsid w:val="00017AE1"/>
    <w:rsid w:val="00026933"/>
    <w:rsid w:val="000274B1"/>
    <w:rsid w:val="00034C61"/>
    <w:rsid w:val="00034E5A"/>
    <w:rsid w:val="00035CC3"/>
    <w:rsid w:val="00036827"/>
    <w:rsid w:val="000401FD"/>
    <w:rsid w:val="00040FA4"/>
    <w:rsid w:val="000524E6"/>
    <w:rsid w:val="00052CF8"/>
    <w:rsid w:val="0005395C"/>
    <w:rsid w:val="000600A0"/>
    <w:rsid w:val="000704FD"/>
    <w:rsid w:val="00070763"/>
    <w:rsid w:val="00072953"/>
    <w:rsid w:val="00077D9C"/>
    <w:rsid w:val="00083935"/>
    <w:rsid w:val="00090FC2"/>
    <w:rsid w:val="00091285"/>
    <w:rsid w:val="00092F95"/>
    <w:rsid w:val="0009324C"/>
    <w:rsid w:val="00093857"/>
    <w:rsid w:val="000A06F5"/>
    <w:rsid w:val="000A75ED"/>
    <w:rsid w:val="000A7EA2"/>
    <w:rsid w:val="000B04CD"/>
    <w:rsid w:val="000B3AEA"/>
    <w:rsid w:val="000C2D2F"/>
    <w:rsid w:val="000C6E09"/>
    <w:rsid w:val="000C711B"/>
    <w:rsid w:val="000C7E87"/>
    <w:rsid w:val="000D005A"/>
    <w:rsid w:val="000D5B93"/>
    <w:rsid w:val="000D6FED"/>
    <w:rsid w:val="000E1477"/>
    <w:rsid w:val="000E7CF3"/>
    <w:rsid w:val="000F4AAF"/>
    <w:rsid w:val="000F5C04"/>
    <w:rsid w:val="001163A8"/>
    <w:rsid w:val="00125192"/>
    <w:rsid w:val="00125ABA"/>
    <w:rsid w:val="00130BFD"/>
    <w:rsid w:val="00131220"/>
    <w:rsid w:val="00131435"/>
    <w:rsid w:val="001374B3"/>
    <w:rsid w:val="001416A3"/>
    <w:rsid w:val="001528EB"/>
    <w:rsid w:val="00153592"/>
    <w:rsid w:val="001538EF"/>
    <w:rsid w:val="00155069"/>
    <w:rsid w:val="00161F70"/>
    <w:rsid w:val="0016662A"/>
    <w:rsid w:val="00170349"/>
    <w:rsid w:val="00171AD4"/>
    <w:rsid w:val="001722C2"/>
    <w:rsid w:val="001769FF"/>
    <w:rsid w:val="00184B20"/>
    <w:rsid w:val="00185E75"/>
    <w:rsid w:val="00185EB3"/>
    <w:rsid w:val="0019136D"/>
    <w:rsid w:val="00194C22"/>
    <w:rsid w:val="00195FB5"/>
    <w:rsid w:val="0019779B"/>
    <w:rsid w:val="001A0581"/>
    <w:rsid w:val="001A4047"/>
    <w:rsid w:val="001A4B1A"/>
    <w:rsid w:val="001A6ED0"/>
    <w:rsid w:val="001A7D95"/>
    <w:rsid w:val="001C0601"/>
    <w:rsid w:val="001C27A1"/>
    <w:rsid w:val="001C46D1"/>
    <w:rsid w:val="001C59B8"/>
    <w:rsid w:val="001C6292"/>
    <w:rsid w:val="001C6631"/>
    <w:rsid w:val="001D04EC"/>
    <w:rsid w:val="001D676F"/>
    <w:rsid w:val="001D6AF5"/>
    <w:rsid w:val="001E1714"/>
    <w:rsid w:val="001E3AE7"/>
    <w:rsid w:val="001E6388"/>
    <w:rsid w:val="001F539D"/>
    <w:rsid w:val="00202D09"/>
    <w:rsid w:val="00210D8B"/>
    <w:rsid w:val="002140FA"/>
    <w:rsid w:val="00215648"/>
    <w:rsid w:val="00215F23"/>
    <w:rsid w:val="00222447"/>
    <w:rsid w:val="00224AC6"/>
    <w:rsid w:val="00226538"/>
    <w:rsid w:val="002335D6"/>
    <w:rsid w:val="00235313"/>
    <w:rsid w:val="00244867"/>
    <w:rsid w:val="00245346"/>
    <w:rsid w:val="00245931"/>
    <w:rsid w:val="00252796"/>
    <w:rsid w:val="00254480"/>
    <w:rsid w:val="002575E6"/>
    <w:rsid w:val="00257B08"/>
    <w:rsid w:val="0026077C"/>
    <w:rsid w:val="002661D0"/>
    <w:rsid w:val="002663DB"/>
    <w:rsid w:val="00266942"/>
    <w:rsid w:val="00266AB6"/>
    <w:rsid w:val="0027783B"/>
    <w:rsid w:val="002801CF"/>
    <w:rsid w:val="002878D8"/>
    <w:rsid w:val="002908EC"/>
    <w:rsid w:val="0029169D"/>
    <w:rsid w:val="00295AE9"/>
    <w:rsid w:val="002A1615"/>
    <w:rsid w:val="002A1C02"/>
    <w:rsid w:val="002B5C72"/>
    <w:rsid w:val="002C09A5"/>
    <w:rsid w:val="002D3CB6"/>
    <w:rsid w:val="002D5D0D"/>
    <w:rsid w:val="002E12C8"/>
    <w:rsid w:val="002E4B9F"/>
    <w:rsid w:val="002E5020"/>
    <w:rsid w:val="002E51B0"/>
    <w:rsid w:val="002E7B50"/>
    <w:rsid w:val="002F1FCA"/>
    <w:rsid w:val="002F4197"/>
    <w:rsid w:val="00301192"/>
    <w:rsid w:val="00301497"/>
    <w:rsid w:val="00302993"/>
    <w:rsid w:val="00304E1F"/>
    <w:rsid w:val="00315AFE"/>
    <w:rsid w:val="00320A3D"/>
    <w:rsid w:val="00321FA8"/>
    <w:rsid w:val="00325EEB"/>
    <w:rsid w:val="0033083E"/>
    <w:rsid w:val="00330E93"/>
    <w:rsid w:val="0033285C"/>
    <w:rsid w:val="00334919"/>
    <w:rsid w:val="00335B1E"/>
    <w:rsid w:val="00340CAF"/>
    <w:rsid w:val="003426AA"/>
    <w:rsid w:val="0034546F"/>
    <w:rsid w:val="003547B5"/>
    <w:rsid w:val="00364050"/>
    <w:rsid w:val="003661A0"/>
    <w:rsid w:val="003723CC"/>
    <w:rsid w:val="00373796"/>
    <w:rsid w:val="00374924"/>
    <w:rsid w:val="00383DB0"/>
    <w:rsid w:val="0039637A"/>
    <w:rsid w:val="00396382"/>
    <w:rsid w:val="003A0742"/>
    <w:rsid w:val="003A2EBA"/>
    <w:rsid w:val="003A3A27"/>
    <w:rsid w:val="003B072A"/>
    <w:rsid w:val="003B2D9A"/>
    <w:rsid w:val="003B2F4F"/>
    <w:rsid w:val="003B5CD3"/>
    <w:rsid w:val="003C023B"/>
    <w:rsid w:val="003C48BF"/>
    <w:rsid w:val="003C7861"/>
    <w:rsid w:val="003D0D57"/>
    <w:rsid w:val="003D2212"/>
    <w:rsid w:val="003D6595"/>
    <w:rsid w:val="003D7300"/>
    <w:rsid w:val="003E1DF3"/>
    <w:rsid w:val="003E21A9"/>
    <w:rsid w:val="003E2BB3"/>
    <w:rsid w:val="003E3504"/>
    <w:rsid w:val="003F520C"/>
    <w:rsid w:val="003F754B"/>
    <w:rsid w:val="003F77E8"/>
    <w:rsid w:val="00403900"/>
    <w:rsid w:val="00403F89"/>
    <w:rsid w:val="004101DD"/>
    <w:rsid w:val="00411A65"/>
    <w:rsid w:val="00412718"/>
    <w:rsid w:val="0041362C"/>
    <w:rsid w:val="0041746A"/>
    <w:rsid w:val="0042190C"/>
    <w:rsid w:val="004221E8"/>
    <w:rsid w:val="00424A91"/>
    <w:rsid w:val="00425136"/>
    <w:rsid w:val="004259DC"/>
    <w:rsid w:val="0043783E"/>
    <w:rsid w:val="00440194"/>
    <w:rsid w:val="004439A7"/>
    <w:rsid w:val="00444161"/>
    <w:rsid w:val="00444987"/>
    <w:rsid w:val="00451648"/>
    <w:rsid w:val="00454C9F"/>
    <w:rsid w:val="00457A6B"/>
    <w:rsid w:val="00462BE1"/>
    <w:rsid w:val="00471A95"/>
    <w:rsid w:val="00471EC5"/>
    <w:rsid w:val="004732B5"/>
    <w:rsid w:val="004734C2"/>
    <w:rsid w:val="00480EFE"/>
    <w:rsid w:val="0048131B"/>
    <w:rsid w:val="004828F7"/>
    <w:rsid w:val="004916E6"/>
    <w:rsid w:val="00492D7B"/>
    <w:rsid w:val="004A1318"/>
    <w:rsid w:val="004A1761"/>
    <w:rsid w:val="004A241E"/>
    <w:rsid w:val="004A36D0"/>
    <w:rsid w:val="004A7742"/>
    <w:rsid w:val="004B13E7"/>
    <w:rsid w:val="004B146F"/>
    <w:rsid w:val="004B2397"/>
    <w:rsid w:val="004B568F"/>
    <w:rsid w:val="004B6981"/>
    <w:rsid w:val="004C0CBD"/>
    <w:rsid w:val="004D0269"/>
    <w:rsid w:val="004D360B"/>
    <w:rsid w:val="004D59EF"/>
    <w:rsid w:val="004E0037"/>
    <w:rsid w:val="004E2487"/>
    <w:rsid w:val="004E7FA3"/>
    <w:rsid w:val="004F03D0"/>
    <w:rsid w:val="00500F41"/>
    <w:rsid w:val="005030FC"/>
    <w:rsid w:val="00514FFF"/>
    <w:rsid w:val="0052360C"/>
    <w:rsid w:val="005311A9"/>
    <w:rsid w:val="00534931"/>
    <w:rsid w:val="00536E78"/>
    <w:rsid w:val="00543B93"/>
    <w:rsid w:val="00545FA4"/>
    <w:rsid w:val="00547B4E"/>
    <w:rsid w:val="00553306"/>
    <w:rsid w:val="00553AEA"/>
    <w:rsid w:val="005541C1"/>
    <w:rsid w:val="0055687E"/>
    <w:rsid w:val="0056585F"/>
    <w:rsid w:val="00565F4D"/>
    <w:rsid w:val="00572EC5"/>
    <w:rsid w:val="005752D5"/>
    <w:rsid w:val="00575C8E"/>
    <w:rsid w:val="005767EF"/>
    <w:rsid w:val="00580046"/>
    <w:rsid w:val="00584620"/>
    <w:rsid w:val="00585AD3"/>
    <w:rsid w:val="005912C6"/>
    <w:rsid w:val="0059237D"/>
    <w:rsid w:val="00592C50"/>
    <w:rsid w:val="00593423"/>
    <w:rsid w:val="00593546"/>
    <w:rsid w:val="00594C6E"/>
    <w:rsid w:val="005A5E2F"/>
    <w:rsid w:val="005A7BAC"/>
    <w:rsid w:val="005B2B10"/>
    <w:rsid w:val="005B57E0"/>
    <w:rsid w:val="005B6F87"/>
    <w:rsid w:val="005C35BE"/>
    <w:rsid w:val="005D0BE8"/>
    <w:rsid w:val="005D2C1F"/>
    <w:rsid w:val="005D2D24"/>
    <w:rsid w:val="005D3925"/>
    <w:rsid w:val="005D5536"/>
    <w:rsid w:val="005D68A8"/>
    <w:rsid w:val="005E197E"/>
    <w:rsid w:val="005E7B5D"/>
    <w:rsid w:val="005F1070"/>
    <w:rsid w:val="005F6227"/>
    <w:rsid w:val="005F70EB"/>
    <w:rsid w:val="00603916"/>
    <w:rsid w:val="00607F7C"/>
    <w:rsid w:val="00612143"/>
    <w:rsid w:val="00615026"/>
    <w:rsid w:val="00617810"/>
    <w:rsid w:val="00617C37"/>
    <w:rsid w:val="00626C5F"/>
    <w:rsid w:val="00631FFF"/>
    <w:rsid w:val="00646C62"/>
    <w:rsid w:val="00651E63"/>
    <w:rsid w:val="00655955"/>
    <w:rsid w:val="0066469A"/>
    <w:rsid w:val="0066471A"/>
    <w:rsid w:val="00667021"/>
    <w:rsid w:val="00667E06"/>
    <w:rsid w:val="006702AB"/>
    <w:rsid w:val="00670FF0"/>
    <w:rsid w:val="006727C1"/>
    <w:rsid w:val="00673EDF"/>
    <w:rsid w:val="006743A0"/>
    <w:rsid w:val="00674803"/>
    <w:rsid w:val="0067565F"/>
    <w:rsid w:val="00683FFC"/>
    <w:rsid w:val="00684A7B"/>
    <w:rsid w:val="00687171"/>
    <w:rsid w:val="0069428E"/>
    <w:rsid w:val="006A5837"/>
    <w:rsid w:val="006B0198"/>
    <w:rsid w:val="006B0FF2"/>
    <w:rsid w:val="006B34BD"/>
    <w:rsid w:val="006B3D49"/>
    <w:rsid w:val="006B5569"/>
    <w:rsid w:val="006C1A84"/>
    <w:rsid w:val="006C4976"/>
    <w:rsid w:val="006D4CD2"/>
    <w:rsid w:val="006E1977"/>
    <w:rsid w:val="006E40F1"/>
    <w:rsid w:val="006E7FF2"/>
    <w:rsid w:val="006F13EC"/>
    <w:rsid w:val="006F1C03"/>
    <w:rsid w:val="006F5BAE"/>
    <w:rsid w:val="006F5BD9"/>
    <w:rsid w:val="006F6528"/>
    <w:rsid w:val="0070006A"/>
    <w:rsid w:val="0070222F"/>
    <w:rsid w:val="00702D51"/>
    <w:rsid w:val="00705FDC"/>
    <w:rsid w:val="00713AF5"/>
    <w:rsid w:val="00714BA7"/>
    <w:rsid w:val="0071581A"/>
    <w:rsid w:val="007224A3"/>
    <w:rsid w:val="00724D24"/>
    <w:rsid w:val="007259AE"/>
    <w:rsid w:val="0073303C"/>
    <w:rsid w:val="007339B5"/>
    <w:rsid w:val="007377DB"/>
    <w:rsid w:val="0074097F"/>
    <w:rsid w:val="007434A3"/>
    <w:rsid w:val="00744537"/>
    <w:rsid w:val="007460B5"/>
    <w:rsid w:val="007534DD"/>
    <w:rsid w:val="0075475E"/>
    <w:rsid w:val="0076154D"/>
    <w:rsid w:val="00761F19"/>
    <w:rsid w:val="0077190E"/>
    <w:rsid w:val="00774626"/>
    <w:rsid w:val="00775661"/>
    <w:rsid w:val="00776797"/>
    <w:rsid w:val="00777C14"/>
    <w:rsid w:val="007851DE"/>
    <w:rsid w:val="00786121"/>
    <w:rsid w:val="00792678"/>
    <w:rsid w:val="00794573"/>
    <w:rsid w:val="007A29C2"/>
    <w:rsid w:val="007A71BF"/>
    <w:rsid w:val="007B1F0E"/>
    <w:rsid w:val="007B2869"/>
    <w:rsid w:val="007B3016"/>
    <w:rsid w:val="007B3B64"/>
    <w:rsid w:val="007B6974"/>
    <w:rsid w:val="007C2E76"/>
    <w:rsid w:val="007C3977"/>
    <w:rsid w:val="007C74A2"/>
    <w:rsid w:val="007D276B"/>
    <w:rsid w:val="007E076E"/>
    <w:rsid w:val="007E2AAA"/>
    <w:rsid w:val="007E6644"/>
    <w:rsid w:val="007F232A"/>
    <w:rsid w:val="00800CD6"/>
    <w:rsid w:val="00801C08"/>
    <w:rsid w:val="00802A85"/>
    <w:rsid w:val="00804592"/>
    <w:rsid w:val="0080620E"/>
    <w:rsid w:val="008068FA"/>
    <w:rsid w:val="00811D04"/>
    <w:rsid w:val="008134F3"/>
    <w:rsid w:val="00822ECE"/>
    <w:rsid w:val="00823088"/>
    <w:rsid w:val="00823B1A"/>
    <w:rsid w:val="008307BD"/>
    <w:rsid w:val="00832469"/>
    <w:rsid w:val="00836834"/>
    <w:rsid w:val="00836EF2"/>
    <w:rsid w:val="008412E8"/>
    <w:rsid w:val="0084494C"/>
    <w:rsid w:val="00847319"/>
    <w:rsid w:val="00847B43"/>
    <w:rsid w:val="00854960"/>
    <w:rsid w:val="008565C8"/>
    <w:rsid w:val="008606D0"/>
    <w:rsid w:val="008617B4"/>
    <w:rsid w:val="00862348"/>
    <w:rsid w:val="00862F67"/>
    <w:rsid w:val="00874DE2"/>
    <w:rsid w:val="00876546"/>
    <w:rsid w:val="00876764"/>
    <w:rsid w:val="00881C61"/>
    <w:rsid w:val="00886690"/>
    <w:rsid w:val="00890FF8"/>
    <w:rsid w:val="00892214"/>
    <w:rsid w:val="00894936"/>
    <w:rsid w:val="008A00FD"/>
    <w:rsid w:val="008A3C49"/>
    <w:rsid w:val="008A780A"/>
    <w:rsid w:val="008B5A35"/>
    <w:rsid w:val="008C27E1"/>
    <w:rsid w:val="008C6F9F"/>
    <w:rsid w:val="008D07B2"/>
    <w:rsid w:val="008D3DAA"/>
    <w:rsid w:val="008D6704"/>
    <w:rsid w:val="008D7B5A"/>
    <w:rsid w:val="008E023F"/>
    <w:rsid w:val="008E0518"/>
    <w:rsid w:val="008E49D3"/>
    <w:rsid w:val="008F374A"/>
    <w:rsid w:val="008F3863"/>
    <w:rsid w:val="008F42D1"/>
    <w:rsid w:val="008F5013"/>
    <w:rsid w:val="008F7B16"/>
    <w:rsid w:val="00900F10"/>
    <w:rsid w:val="0090194B"/>
    <w:rsid w:val="009051D2"/>
    <w:rsid w:val="009065AC"/>
    <w:rsid w:val="00910D8B"/>
    <w:rsid w:val="00914272"/>
    <w:rsid w:val="009302D8"/>
    <w:rsid w:val="00932859"/>
    <w:rsid w:val="009342FB"/>
    <w:rsid w:val="009346DA"/>
    <w:rsid w:val="00937B34"/>
    <w:rsid w:val="00942B0B"/>
    <w:rsid w:val="00947FBF"/>
    <w:rsid w:val="00954F20"/>
    <w:rsid w:val="00957F9F"/>
    <w:rsid w:val="00961BDD"/>
    <w:rsid w:val="00962AF1"/>
    <w:rsid w:val="00971504"/>
    <w:rsid w:val="00976A36"/>
    <w:rsid w:val="009809F9"/>
    <w:rsid w:val="00993BBD"/>
    <w:rsid w:val="009A0798"/>
    <w:rsid w:val="009A6DC9"/>
    <w:rsid w:val="009A753D"/>
    <w:rsid w:val="009B4556"/>
    <w:rsid w:val="009B6FAB"/>
    <w:rsid w:val="009C697E"/>
    <w:rsid w:val="009C69A5"/>
    <w:rsid w:val="009C7D7A"/>
    <w:rsid w:val="009D073F"/>
    <w:rsid w:val="009D59E8"/>
    <w:rsid w:val="009E4517"/>
    <w:rsid w:val="009E6B93"/>
    <w:rsid w:val="009F0184"/>
    <w:rsid w:val="009F618F"/>
    <w:rsid w:val="009F6464"/>
    <w:rsid w:val="009F70C0"/>
    <w:rsid w:val="00A12076"/>
    <w:rsid w:val="00A13C00"/>
    <w:rsid w:val="00A21B44"/>
    <w:rsid w:val="00A23BC7"/>
    <w:rsid w:val="00A306B7"/>
    <w:rsid w:val="00A3089B"/>
    <w:rsid w:val="00A3442E"/>
    <w:rsid w:val="00A349D6"/>
    <w:rsid w:val="00A408DF"/>
    <w:rsid w:val="00A40E1F"/>
    <w:rsid w:val="00A426D1"/>
    <w:rsid w:val="00A43A26"/>
    <w:rsid w:val="00A43C1F"/>
    <w:rsid w:val="00A445D7"/>
    <w:rsid w:val="00A522F7"/>
    <w:rsid w:val="00A561E0"/>
    <w:rsid w:val="00A571BC"/>
    <w:rsid w:val="00A576A5"/>
    <w:rsid w:val="00A57BE7"/>
    <w:rsid w:val="00A57DBA"/>
    <w:rsid w:val="00A64AF6"/>
    <w:rsid w:val="00A6503C"/>
    <w:rsid w:val="00A73D0A"/>
    <w:rsid w:val="00A84CAD"/>
    <w:rsid w:val="00A84DF8"/>
    <w:rsid w:val="00A92294"/>
    <w:rsid w:val="00A92F7A"/>
    <w:rsid w:val="00A944C8"/>
    <w:rsid w:val="00A94CD4"/>
    <w:rsid w:val="00AA0732"/>
    <w:rsid w:val="00AB1552"/>
    <w:rsid w:val="00AC030A"/>
    <w:rsid w:val="00AC07D0"/>
    <w:rsid w:val="00AD5361"/>
    <w:rsid w:val="00AE0DAF"/>
    <w:rsid w:val="00AE53CB"/>
    <w:rsid w:val="00AE7647"/>
    <w:rsid w:val="00AF0599"/>
    <w:rsid w:val="00AF19F7"/>
    <w:rsid w:val="00AF1DA9"/>
    <w:rsid w:val="00AF5676"/>
    <w:rsid w:val="00B00123"/>
    <w:rsid w:val="00B1743F"/>
    <w:rsid w:val="00B31B68"/>
    <w:rsid w:val="00B31BD7"/>
    <w:rsid w:val="00B343C6"/>
    <w:rsid w:val="00B35C5E"/>
    <w:rsid w:val="00B414B5"/>
    <w:rsid w:val="00B44D0C"/>
    <w:rsid w:val="00B44F5F"/>
    <w:rsid w:val="00B46941"/>
    <w:rsid w:val="00B5068E"/>
    <w:rsid w:val="00B50FBE"/>
    <w:rsid w:val="00B525CF"/>
    <w:rsid w:val="00B54DD1"/>
    <w:rsid w:val="00B563CF"/>
    <w:rsid w:val="00B56D60"/>
    <w:rsid w:val="00B579BB"/>
    <w:rsid w:val="00B75871"/>
    <w:rsid w:val="00B769DD"/>
    <w:rsid w:val="00B77B97"/>
    <w:rsid w:val="00B81C29"/>
    <w:rsid w:val="00B84B91"/>
    <w:rsid w:val="00B86275"/>
    <w:rsid w:val="00B8692C"/>
    <w:rsid w:val="00B94C03"/>
    <w:rsid w:val="00BA0C56"/>
    <w:rsid w:val="00BA1682"/>
    <w:rsid w:val="00BA1F0A"/>
    <w:rsid w:val="00BA2264"/>
    <w:rsid w:val="00BA37B9"/>
    <w:rsid w:val="00BB1603"/>
    <w:rsid w:val="00BB633C"/>
    <w:rsid w:val="00BC2C1B"/>
    <w:rsid w:val="00BC4BEA"/>
    <w:rsid w:val="00BC4DFD"/>
    <w:rsid w:val="00BC5934"/>
    <w:rsid w:val="00BC6981"/>
    <w:rsid w:val="00BD3482"/>
    <w:rsid w:val="00BD4926"/>
    <w:rsid w:val="00BD6347"/>
    <w:rsid w:val="00BD6792"/>
    <w:rsid w:val="00BE06A5"/>
    <w:rsid w:val="00BE15F9"/>
    <w:rsid w:val="00BE64CF"/>
    <w:rsid w:val="00BE6F42"/>
    <w:rsid w:val="00BF3550"/>
    <w:rsid w:val="00BF5170"/>
    <w:rsid w:val="00C04095"/>
    <w:rsid w:val="00C120D5"/>
    <w:rsid w:val="00C12ECB"/>
    <w:rsid w:val="00C14A0F"/>
    <w:rsid w:val="00C277CE"/>
    <w:rsid w:val="00C43C3A"/>
    <w:rsid w:val="00C442DB"/>
    <w:rsid w:val="00C547E3"/>
    <w:rsid w:val="00C554F6"/>
    <w:rsid w:val="00C5563A"/>
    <w:rsid w:val="00C576B4"/>
    <w:rsid w:val="00C64197"/>
    <w:rsid w:val="00C66305"/>
    <w:rsid w:val="00C71500"/>
    <w:rsid w:val="00C71960"/>
    <w:rsid w:val="00C72B91"/>
    <w:rsid w:val="00C741B4"/>
    <w:rsid w:val="00C765E8"/>
    <w:rsid w:val="00C76A89"/>
    <w:rsid w:val="00C779CA"/>
    <w:rsid w:val="00C81AA1"/>
    <w:rsid w:val="00C82041"/>
    <w:rsid w:val="00C83136"/>
    <w:rsid w:val="00C83692"/>
    <w:rsid w:val="00C83A25"/>
    <w:rsid w:val="00C969EE"/>
    <w:rsid w:val="00CA2358"/>
    <w:rsid w:val="00CA28AF"/>
    <w:rsid w:val="00CA5F52"/>
    <w:rsid w:val="00CA6C43"/>
    <w:rsid w:val="00CB12D5"/>
    <w:rsid w:val="00CC181D"/>
    <w:rsid w:val="00CE2CCD"/>
    <w:rsid w:val="00CF1455"/>
    <w:rsid w:val="00CF5C14"/>
    <w:rsid w:val="00CF6A86"/>
    <w:rsid w:val="00D01BB3"/>
    <w:rsid w:val="00D059DD"/>
    <w:rsid w:val="00D14A0D"/>
    <w:rsid w:val="00D15B00"/>
    <w:rsid w:val="00D16291"/>
    <w:rsid w:val="00D24503"/>
    <w:rsid w:val="00D25A1F"/>
    <w:rsid w:val="00D2700D"/>
    <w:rsid w:val="00D35399"/>
    <w:rsid w:val="00D362E3"/>
    <w:rsid w:val="00D368D4"/>
    <w:rsid w:val="00D36A7E"/>
    <w:rsid w:val="00D42F9E"/>
    <w:rsid w:val="00D44C0D"/>
    <w:rsid w:val="00D452DA"/>
    <w:rsid w:val="00D471AA"/>
    <w:rsid w:val="00D53F87"/>
    <w:rsid w:val="00D56712"/>
    <w:rsid w:val="00D57537"/>
    <w:rsid w:val="00D61F52"/>
    <w:rsid w:val="00D63B52"/>
    <w:rsid w:val="00D65DBC"/>
    <w:rsid w:val="00D70BEE"/>
    <w:rsid w:val="00D71C9D"/>
    <w:rsid w:val="00D77E84"/>
    <w:rsid w:val="00D83063"/>
    <w:rsid w:val="00D834EE"/>
    <w:rsid w:val="00DA21E9"/>
    <w:rsid w:val="00DA2523"/>
    <w:rsid w:val="00DB0D07"/>
    <w:rsid w:val="00DB10AE"/>
    <w:rsid w:val="00DB46A9"/>
    <w:rsid w:val="00DB5231"/>
    <w:rsid w:val="00DB7831"/>
    <w:rsid w:val="00DC0C8B"/>
    <w:rsid w:val="00DC1AD9"/>
    <w:rsid w:val="00DC72FE"/>
    <w:rsid w:val="00DC77E0"/>
    <w:rsid w:val="00DD273B"/>
    <w:rsid w:val="00DD2BAA"/>
    <w:rsid w:val="00DD4683"/>
    <w:rsid w:val="00DD5804"/>
    <w:rsid w:val="00DE0267"/>
    <w:rsid w:val="00DE3404"/>
    <w:rsid w:val="00DE601E"/>
    <w:rsid w:val="00DF0E2C"/>
    <w:rsid w:val="00DF3C30"/>
    <w:rsid w:val="00DF5027"/>
    <w:rsid w:val="00E00B0B"/>
    <w:rsid w:val="00E01192"/>
    <w:rsid w:val="00E037F4"/>
    <w:rsid w:val="00E04851"/>
    <w:rsid w:val="00E13F69"/>
    <w:rsid w:val="00E153D1"/>
    <w:rsid w:val="00E16DD7"/>
    <w:rsid w:val="00E236D5"/>
    <w:rsid w:val="00E3312F"/>
    <w:rsid w:val="00E356BB"/>
    <w:rsid w:val="00E37A97"/>
    <w:rsid w:val="00E41B56"/>
    <w:rsid w:val="00E42BFF"/>
    <w:rsid w:val="00E46092"/>
    <w:rsid w:val="00E46707"/>
    <w:rsid w:val="00E50755"/>
    <w:rsid w:val="00E507E7"/>
    <w:rsid w:val="00E51A1A"/>
    <w:rsid w:val="00E606D0"/>
    <w:rsid w:val="00E6374A"/>
    <w:rsid w:val="00E663D1"/>
    <w:rsid w:val="00E66BA7"/>
    <w:rsid w:val="00E6703F"/>
    <w:rsid w:val="00E741ED"/>
    <w:rsid w:val="00E762ED"/>
    <w:rsid w:val="00E768AF"/>
    <w:rsid w:val="00E84021"/>
    <w:rsid w:val="00E85509"/>
    <w:rsid w:val="00E86D8D"/>
    <w:rsid w:val="00E902E2"/>
    <w:rsid w:val="00E90D1F"/>
    <w:rsid w:val="00E9137A"/>
    <w:rsid w:val="00E91AC3"/>
    <w:rsid w:val="00EA08D5"/>
    <w:rsid w:val="00EA611B"/>
    <w:rsid w:val="00EA7186"/>
    <w:rsid w:val="00EB4CFD"/>
    <w:rsid w:val="00ED1AED"/>
    <w:rsid w:val="00EE027C"/>
    <w:rsid w:val="00EE16CE"/>
    <w:rsid w:val="00EE5F06"/>
    <w:rsid w:val="00EE6483"/>
    <w:rsid w:val="00EE734C"/>
    <w:rsid w:val="00EF084E"/>
    <w:rsid w:val="00EF150A"/>
    <w:rsid w:val="00EF349E"/>
    <w:rsid w:val="00EF4BB3"/>
    <w:rsid w:val="00F04350"/>
    <w:rsid w:val="00F10264"/>
    <w:rsid w:val="00F119E9"/>
    <w:rsid w:val="00F13F96"/>
    <w:rsid w:val="00F2119C"/>
    <w:rsid w:val="00F2146A"/>
    <w:rsid w:val="00F218B1"/>
    <w:rsid w:val="00F223B7"/>
    <w:rsid w:val="00F25873"/>
    <w:rsid w:val="00F30F98"/>
    <w:rsid w:val="00F35823"/>
    <w:rsid w:val="00F41475"/>
    <w:rsid w:val="00F53A19"/>
    <w:rsid w:val="00F60818"/>
    <w:rsid w:val="00F6210D"/>
    <w:rsid w:val="00F67F6B"/>
    <w:rsid w:val="00F731FD"/>
    <w:rsid w:val="00F7504C"/>
    <w:rsid w:val="00F75B3A"/>
    <w:rsid w:val="00F83E8B"/>
    <w:rsid w:val="00F85758"/>
    <w:rsid w:val="00FB10AB"/>
    <w:rsid w:val="00FB3757"/>
    <w:rsid w:val="00FC092C"/>
    <w:rsid w:val="00FC0A14"/>
    <w:rsid w:val="00FD6568"/>
    <w:rsid w:val="00FE0E1B"/>
    <w:rsid w:val="00FE34B5"/>
    <w:rsid w:val="00FE44B7"/>
    <w:rsid w:val="00FE5746"/>
    <w:rsid w:val="00FE5EE8"/>
    <w:rsid w:val="00FF183D"/>
    <w:rsid w:val="00FF3A7D"/>
    <w:rsid w:val="00FF546D"/>
    <w:rsid w:val="00FF73B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63CDB"/>
  <w15:docId w15:val="{FB7CE5BE-D282-4E75-A199-7571EAC9B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F98"/>
    <w:pPr>
      <w:spacing w:after="0" w:line="240" w:lineRule="auto"/>
      <w:jc w:val="both"/>
    </w:pPr>
    <w:rPr>
      <w:rFonts w:ascii="Times New Roman" w:eastAsia="Times New Roman" w:hAnsi="Times New Roman" w:cs="Times New Roman"/>
      <w:color w:val="000000"/>
      <w:sz w:val="24"/>
      <w:szCs w:val="24"/>
      <w:lang w:eastAsia="bs-Latn-BA"/>
    </w:rPr>
  </w:style>
  <w:style w:type="paragraph" w:styleId="Heading1">
    <w:name w:val="heading 1"/>
    <w:basedOn w:val="Normal"/>
    <w:link w:val="Heading1Char"/>
    <w:qFormat/>
    <w:rsid w:val="001538EF"/>
    <w:pPr>
      <w:numPr>
        <w:numId w:val="18"/>
      </w:numPr>
      <w:spacing w:after="360" w:line="0" w:lineRule="atLeast"/>
      <w:ind w:left="431" w:hanging="431"/>
      <w:outlineLvl w:val="0"/>
    </w:pPr>
    <w:rPr>
      <w:rFonts w:ascii="Calibri" w:hAnsi="Calibri"/>
      <w:b/>
      <w:caps/>
      <w:color w:val="auto"/>
      <w:kern w:val="36"/>
      <w:sz w:val="20"/>
      <w:szCs w:val="20"/>
      <w:lang w:val="sr-Cyrl-CS" w:eastAsia="sr-Latn-CS"/>
    </w:rPr>
  </w:style>
  <w:style w:type="paragraph" w:styleId="Heading2">
    <w:name w:val="heading 2"/>
    <w:basedOn w:val="Normal"/>
    <w:link w:val="Heading2Char"/>
    <w:qFormat/>
    <w:rsid w:val="001538EF"/>
    <w:pPr>
      <w:numPr>
        <w:ilvl w:val="1"/>
        <w:numId w:val="18"/>
      </w:numPr>
      <w:spacing w:line="276" w:lineRule="auto"/>
      <w:outlineLvl w:val="1"/>
    </w:pPr>
    <w:rPr>
      <w:rFonts w:ascii="Calibri" w:eastAsiaTheme="minorHAnsi" w:hAnsi="Calibri"/>
      <w:bCs/>
      <w:color w:val="auto"/>
      <w:sz w:val="20"/>
      <w:szCs w:val="17"/>
      <w:lang w:val="sr-Cyrl-CS" w:eastAsia="sr-Latn-CS"/>
    </w:rPr>
  </w:style>
  <w:style w:type="paragraph" w:styleId="Heading3">
    <w:name w:val="heading 3"/>
    <w:basedOn w:val="Normal"/>
    <w:next w:val="Normal"/>
    <w:link w:val="Heading3Char"/>
    <w:uiPriority w:val="9"/>
    <w:semiHidden/>
    <w:unhideWhenUsed/>
    <w:qFormat/>
    <w:rsid w:val="001538EF"/>
    <w:pPr>
      <w:keepNext/>
      <w:keepLines/>
      <w:numPr>
        <w:ilvl w:val="2"/>
        <w:numId w:val="18"/>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538EF"/>
    <w:pPr>
      <w:keepNext/>
      <w:keepLines/>
      <w:numPr>
        <w:ilvl w:val="3"/>
        <w:numId w:val="18"/>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538EF"/>
    <w:pPr>
      <w:keepNext/>
      <w:keepLines/>
      <w:numPr>
        <w:ilvl w:val="4"/>
        <w:numId w:val="1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38EF"/>
    <w:pPr>
      <w:keepNext/>
      <w:keepLines/>
      <w:numPr>
        <w:ilvl w:val="5"/>
        <w:numId w:val="1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38EF"/>
    <w:pPr>
      <w:keepNext/>
      <w:keepLines/>
      <w:numPr>
        <w:ilvl w:val="6"/>
        <w:numId w:val="1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38EF"/>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38EF"/>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38EF"/>
    <w:rPr>
      <w:rFonts w:ascii="Calibri" w:eastAsia="Times New Roman" w:hAnsi="Calibri" w:cs="Times New Roman"/>
      <w:b/>
      <w:caps/>
      <w:kern w:val="36"/>
      <w:sz w:val="20"/>
      <w:szCs w:val="20"/>
      <w:lang w:val="sr-Cyrl-CS" w:eastAsia="sr-Latn-CS"/>
    </w:rPr>
  </w:style>
  <w:style w:type="character" w:customStyle="1" w:styleId="Heading2Char">
    <w:name w:val="Heading 2 Char"/>
    <w:basedOn w:val="DefaultParagraphFont"/>
    <w:link w:val="Heading2"/>
    <w:rsid w:val="001538EF"/>
    <w:rPr>
      <w:rFonts w:ascii="Calibri" w:hAnsi="Calibri" w:cs="Times New Roman"/>
      <w:bCs/>
      <w:sz w:val="20"/>
      <w:szCs w:val="17"/>
      <w:lang w:val="sr-Cyrl-CS" w:eastAsia="sr-Latn-CS"/>
    </w:rPr>
  </w:style>
  <w:style w:type="character" w:customStyle="1" w:styleId="Heading3Char">
    <w:name w:val="Heading 3 Char"/>
    <w:basedOn w:val="DefaultParagraphFont"/>
    <w:link w:val="Heading3"/>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4Char">
    <w:name w:val="Heading 4 Char"/>
    <w:basedOn w:val="DefaultParagraphFont"/>
    <w:link w:val="Heading4"/>
    <w:uiPriority w:val="9"/>
    <w:semiHidden/>
    <w:rsid w:val="001538EF"/>
    <w:rPr>
      <w:rFonts w:asciiTheme="majorHAnsi" w:eastAsiaTheme="majorEastAsia" w:hAnsiTheme="majorHAnsi" w:cstheme="majorBidi"/>
      <w:i/>
      <w:iCs/>
      <w:color w:val="365F91" w:themeColor="accent1" w:themeShade="BF"/>
      <w:sz w:val="24"/>
      <w:szCs w:val="24"/>
      <w:lang w:eastAsia="bs-Latn-BA"/>
    </w:rPr>
  </w:style>
  <w:style w:type="character" w:customStyle="1" w:styleId="Heading5Char">
    <w:name w:val="Heading 5 Char"/>
    <w:basedOn w:val="DefaultParagraphFont"/>
    <w:link w:val="Heading5"/>
    <w:uiPriority w:val="9"/>
    <w:semiHidden/>
    <w:rsid w:val="001538EF"/>
    <w:rPr>
      <w:rFonts w:asciiTheme="majorHAnsi" w:eastAsiaTheme="majorEastAsia" w:hAnsiTheme="majorHAnsi" w:cstheme="majorBidi"/>
      <w:color w:val="365F91" w:themeColor="accent1" w:themeShade="BF"/>
      <w:sz w:val="24"/>
      <w:szCs w:val="24"/>
      <w:lang w:eastAsia="bs-Latn-BA"/>
    </w:rPr>
  </w:style>
  <w:style w:type="character" w:customStyle="1" w:styleId="Heading6Char">
    <w:name w:val="Heading 6 Char"/>
    <w:basedOn w:val="DefaultParagraphFont"/>
    <w:link w:val="Heading6"/>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7Char">
    <w:name w:val="Heading 7 Char"/>
    <w:basedOn w:val="DefaultParagraphFont"/>
    <w:link w:val="Heading7"/>
    <w:uiPriority w:val="9"/>
    <w:semiHidden/>
    <w:rsid w:val="001538EF"/>
    <w:rPr>
      <w:rFonts w:asciiTheme="majorHAnsi" w:eastAsiaTheme="majorEastAsia" w:hAnsiTheme="majorHAnsi" w:cstheme="majorBidi"/>
      <w:i/>
      <w:iCs/>
      <w:color w:val="243F60" w:themeColor="accent1" w:themeShade="7F"/>
      <w:sz w:val="24"/>
      <w:szCs w:val="24"/>
      <w:lang w:eastAsia="bs-Latn-BA"/>
    </w:rPr>
  </w:style>
  <w:style w:type="character" w:customStyle="1" w:styleId="Heading8Char">
    <w:name w:val="Heading 8 Char"/>
    <w:basedOn w:val="DefaultParagraphFont"/>
    <w:link w:val="Heading8"/>
    <w:uiPriority w:val="9"/>
    <w:semiHidden/>
    <w:rsid w:val="001538EF"/>
    <w:rPr>
      <w:rFonts w:asciiTheme="majorHAnsi" w:eastAsiaTheme="majorEastAsia" w:hAnsiTheme="majorHAnsi" w:cstheme="majorBidi"/>
      <w:color w:val="272727" w:themeColor="text1" w:themeTint="D8"/>
      <w:sz w:val="21"/>
      <w:szCs w:val="21"/>
      <w:lang w:eastAsia="bs-Latn-BA"/>
    </w:rPr>
  </w:style>
  <w:style w:type="character" w:customStyle="1" w:styleId="Heading9Char">
    <w:name w:val="Heading 9 Char"/>
    <w:basedOn w:val="DefaultParagraphFont"/>
    <w:link w:val="Heading9"/>
    <w:uiPriority w:val="9"/>
    <w:semiHidden/>
    <w:rsid w:val="001538EF"/>
    <w:rPr>
      <w:rFonts w:asciiTheme="majorHAnsi" w:eastAsiaTheme="majorEastAsia" w:hAnsiTheme="majorHAnsi" w:cstheme="majorBidi"/>
      <w:i/>
      <w:iCs/>
      <w:color w:val="272727" w:themeColor="text1" w:themeTint="D8"/>
      <w:sz w:val="21"/>
      <w:szCs w:val="21"/>
      <w:lang w:eastAsia="bs-Latn-BA"/>
    </w:rPr>
  </w:style>
  <w:style w:type="paragraph" w:styleId="Footer">
    <w:name w:val="footer"/>
    <w:basedOn w:val="Normal"/>
    <w:link w:val="FooterChar"/>
    <w:uiPriority w:val="99"/>
    <w:rsid w:val="001538EF"/>
    <w:pPr>
      <w:tabs>
        <w:tab w:val="center" w:pos="4320"/>
        <w:tab w:val="right" w:pos="8640"/>
      </w:tabs>
    </w:pPr>
  </w:style>
  <w:style w:type="character" w:customStyle="1" w:styleId="FooterChar">
    <w:name w:val="Footer Char"/>
    <w:basedOn w:val="DefaultParagraphFont"/>
    <w:link w:val="Footer"/>
    <w:uiPriority w:val="99"/>
    <w:rsid w:val="001538EF"/>
    <w:rPr>
      <w:rFonts w:ascii="Times New Roman" w:eastAsia="Times New Roman" w:hAnsi="Times New Roman" w:cs="Times New Roman"/>
      <w:color w:val="000000"/>
      <w:sz w:val="24"/>
      <w:szCs w:val="24"/>
      <w:lang w:eastAsia="bs-Latn-BA"/>
    </w:rPr>
  </w:style>
  <w:style w:type="paragraph" w:styleId="Header">
    <w:name w:val="header"/>
    <w:basedOn w:val="Normal"/>
    <w:link w:val="HeaderChar"/>
    <w:uiPriority w:val="99"/>
    <w:rsid w:val="001538EF"/>
    <w:pPr>
      <w:tabs>
        <w:tab w:val="center" w:pos="4320"/>
        <w:tab w:val="right" w:pos="8640"/>
      </w:tabs>
    </w:pPr>
  </w:style>
  <w:style w:type="character" w:customStyle="1" w:styleId="HeaderChar">
    <w:name w:val="Header Char"/>
    <w:basedOn w:val="DefaultParagraphFont"/>
    <w:link w:val="Header"/>
    <w:uiPriority w:val="99"/>
    <w:rsid w:val="001538EF"/>
    <w:rPr>
      <w:rFonts w:ascii="Times New Roman" w:eastAsia="Times New Roman" w:hAnsi="Times New Roman" w:cs="Times New Roman"/>
      <w:color w:val="000000"/>
      <w:sz w:val="24"/>
      <w:szCs w:val="24"/>
      <w:lang w:eastAsia="bs-Latn-BA"/>
    </w:rPr>
  </w:style>
  <w:style w:type="paragraph" w:styleId="ListParagraph">
    <w:name w:val="List Paragraph"/>
    <w:basedOn w:val="Normal"/>
    <w:uiPriority w:val="34"/>
    <w:qFormat/>
    <w:rsid w:val="001538EF"/>
    <w:pPr>
      <w:ind w:left="720"/>
      <w:contextualSpacing/>
    </w:pPr>
  </w:style>
  <w:style w:type="table" w:styleId="TableGrid">
    <w:name w:val="Table Grid"/>
    <w:basedOn w:val="TableNormal"/>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1538EF"/>
    <w:rPr>
      <w:rFonts w:ascii="Tahoma" w:hAnsi="Tahoma" w:cs="Tahoma"/>
      <w:sz w:val="16"/>
      <w:szCs w:val="16"/>
    </w:rPr>
  </w:style>
  <w:style w:type="character" w:customStyle="1" w:styleId="BalloonTextChar">
    <w:name w:val="Balloon Text Char"/>
    <w:basedOn w:val="DefaultParagraphFont"/>
    <w:link w:val="BalloonText"/>
    <w:semiHidden/>
    <w:rsid w:val="001538EF"/>
    <w:rPr>
      <w:rFonts w:ascii="Tahoma" w:eastAsia="Times New Roman" w:hAnsi="Tahoma" w:cs="Tahoma"/>
      <w:color w:val="000000"/>
      <w:sz w:val="16"/>
      <w:szCs w:val="16"/>
      <w:lang w:eastAsia="bs-Latn-BA"/>
    </w:rPr>
  </w:style>
  <w:style w:type="character" w:styleId="CommentReference">
    <w:name w:val="annotation reference"/>
    <w:semiHidden/>
    <w:rsid w:val="001538EF"/>
    <w:rPr>
      <w:sz w:val="16"/>
      <w:szCs w:val="16"/>
    </w:rPr>
  </w:style>
  <w:style w:type="paragraph" w:styleId="CommentText">
    <w:name w:val="annotation text"/>
    <w:basedOn w:val="Normal"/>
    <w:link w:val="CommentTextChar"/>
    <w:semiHidden/>
    <w:rsid w:val="001538EF"/>
    <w:rPr>
      <w:sz w:val="20"/>
      <w:szCs w:val="20"/>
    </w:rPr>
  </w:style>
  <w:style w:type="character" w:customStyle="1" w:styleId="CommentTextChar">
    <w:name w:val="Comment Text Char"/>
    <w:basedOn w:val="DefaultParagraphFont"/>
    <w:link w:val="CommentText"/>
    <w:semiHidden/>
    <w:rsid w:val="001538EF"/>
    <w:rPr>
      <w:rFonts w:ascii="Times New Roman" w:eastAsia="Times New Roman" w:hAnsi="Times New Roman" w:cs="Times New Roman"/>
      <w:color w:val="000000"/>
      <w:sz w:val="20"/>
      <w:szCs w:val="20"/>
      <w:lang w:eastAsia="bs-Latn-BA"/>
    </w:rPr>
  </w:style>
  <w:style w:type="paragraph" w:styleId="CommentSubject">
    <w:name w:val="annotation subject"/>
    <w:basedOn w:val="CommentText"/>
    <w:next w:val="CommentText"/>
    <w:link w:val="CommentSubjectChar"/>
    <w:semiHidden/>
    <w:rsid w:val="001538EF"/>
    <w:rPr>
      <w:b/>
      <w:bCs/>
    </w:rPr>
  </w:style>
  <w:style w:type="character" w:customStyle="1" w:styleId="CommentSubjectChar">
    <w:name w:val="Comment Subject Char"/>
    <w:basedOn w:val="CommentTextChar"/>
    <w:link w:val="CommentSubject"/>
    <w:semiHidden/>
    <w:rsid w:val="001538EF"/>
    <w:rPr>
      <w:rFonts w:ascii="Times New Roman" w:eastAsia="Times New Roman" w:hAnsi="Times New Roman" w:cs="Times New Roman"/>
      <w:b/>
      <w:bCs/>
      <w:color w:val="000000"/>
      <w:sz w:val="20"/>
      <w:szCs w:val="20"/>
      <w:lang w:eastAsia="bs-Latn-BA"/>
    </w:rPr>
  </w:style>
  <w:style w:type="character" w:styleId="FootnoteReference">
    <w:name w:val="footnote reference"/>
    <w:semiHidden/>
    <w:rsid w:val="001538EF"/>
    <w:rPr>
      <w:vertAlign w:val="superscript"/>
    </w:rPr>
  </w:style>
  <w:style w:type="paragraph" w:styleId="FootnoteText">
    <w:name w:val="footnote text"/>
    <w:basedOn w:val="Normal"/>
    <w:link w:val="FootnoteTextChar"/>
    <w:semiHidden/>
    <w:rsid w:val="001538EF"/>
    <w:rPr>
      <w:sz w:val="20"/>
      <w:szCs w:val="20"/>
    </w:rPr>
  </w:style>
  <w:style w:type="character" w:customStyle="1" w:styleId="FootnoteTextChar">
    <w:name w:val="Footnote Text Char"/>
    <w:basedOn w:val="DefaultParagraphFont"/>
    <w:link w:val="FootnoteText"/>
    <w:semiHidden/>
    <w:rsid w:val="001538EF"/>
    <w:rPr>
      <w:rFonts w:ascii="Times New Roman" w:eastAsia="Times New Roman" w:hAnsi="Times New Roman" w:cs="Times New Roman"/>
      <w:color w:val="000000"/>
      <w:sz w:val="20"/>
      <w:szCs w:val="20"/>
      <w:lang w:eastAsia="bs-Latn-BA"/>
    </w:rPr>
  </w:style>
  <w:style w:type="character" w:styleId="Hyperlink">
    <w:name w:val="Hyperlink"/>
    <w:uiPriority w:val="99"/>
    <w:rsid w:val="001538EF"/>
    <w:rPr>
      <w:color w:val="0000FF"/>
      <w:u w:val="single"/>
    </w:rPr>
  </w:style>
  <w:style w:type="paragraph" w:styleId="NormalWeb">
    <w:name w:val="Normal (Web)"/>
    <w:basedOn w:val="Normal"/>
    <w:rsid w:val="001538EF"/>
    <w:pPr>
      <w:spacing w:after="225"/>
    </w:pPr>
  </w:style>
  <w:style w:type="paragraph" w:customStyle="1" w:styleId="Stav">
    <w:name w:val="Stav"/>
    <w:basedOn w:val="Normal"/>
    <w:qFormat/>
    <w:rsid w:val="001538EF"/>
    <w:pPr>
      <w:spacing w:after="120"/>
    </w:pPr>
    <w:rPr>
      <w:lang w:val="sr-Cyrl-CS"/>
    </w:rPr>
  </w:style>
  <w:style w:type="paragraph" w:customStyle="1" w:styleId="Num-Stav">
    <w:name w:val="Num-Stav"/>
    <w:basedOn w:val="Stav"/>
    <w:qFormat/>
    <w:rsid w:val="001538EF"/>
    <w:pPr>
      <w:numPr>
        <w:numId w:val="1"/>
      </w:numPr>
    </w:pPr>
  </w:style>
  <w:style w:type="character" w:styleId="PageNumber">
    <w:name w:val="page number"/>
    <w:basedOn w:val="DefaultParagraphFont"/>
    <w:rsid w:val="001538EF"/>
  </w:style>
  <w:style w:type="table" w:styleId="TableGrid20">
    <w:name w:val="Table Grid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List3">
    <w:name w:val="Table List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Web2">
    <w:name w:val="Table Web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qFormat/>
    <w:rsid w:val="005D0BE8"/>
    <w:pPr>
      <w:tabs>
        <w:tab w:val="left" w:pos="284"/>
        <w:tab w:val="right" w:leader="dot" w:pos="8635"/>
      </w:tabs>
      <w:spacing w:before="240" w:line="360" w:lineRule="auto"/>
    </w:pPr>
    <w:rPr>
      <w:rFonts w:asciiTheme="minorHAnsi" w:hAnsiTheme="minorHAnsi"/>
      <w:b/>
      <w:sz w:val="20"/>
    </w:rPr>
  </w:style>
  <w:style w:type="paragraph" w:styleId="TOC2">
    <w:name w:val="toc 2"/>
    <w:basedOn w:val="Normal"/>
    <w:next w:val="Normal"/>
    <w:autoRedefine/>
    <w:uiPriority w:val="39"/>
    <w:qFormat/>
    <w:rsid w:val="00BC5934"/>
    <w:pPr>
      <w:tabs>
        <w:tab w:val="left" w:pos="284"/>
        <w:tab w:val="right" w:leader="dot" w:pos="8647"/>
      </w:tabs>
      <w:spacing w:line="320" w:lineRule="exact"/>
      <w:ind w:left="426" w:right="140" w:hanging="426"/>
    </w:pPr>
    <w:rPr>
      <w:rFonts w:asciiTheme="minorHAnsi" w:hAnsiTheme="minorHAnsi"/>
      <w:sz w:val="20"/>
    </w:rPr>
  </w:style>
  <w:style w:type="paragraph" w:customStyle="1" w:styleId="Default">
    <w:name w:val="Default"/>
    <w:rsid w:val="001538EF"/>
    <w:pPr>
      <w:autoSpaceDE w:val="0"/>
      <w:autoSpaceDN w:val="0"/>
      <w:adjustRightInd w:val="0"/>
      <w:spacing w:after="0" w:line="240" w:lineRule="auto"/>
    </w:pPr>
    <w:rPr>
      <w:rFonts w:ascii="DMPEGO+Arial" w:hAnsi="DMPEGO+Arial" w:cs="DMPEGO+Arial"/>
      <w:color w:val="000000"/>
      <w:sz w:val="24"/>
      <w:szCs w:val="24"/>
    </w:rPr>
  </w:style>
  <w:style w:type="paragraph" w:customStyle="1" w:styleId="Glava">
    <w:name w:val="Glava"/>
    <w:basedOn w:val="Normal"/>
    <w:qFormat/>
    <w:rsid w:val="001538EF"/>
    <w:pPr>
      <w:keepNext/>
      <w:numPr>
        <w:numId w:val="2"/>
      </w:numPr>
      <w:spacing w:before="360" w:after="240"/>
    </w:pPr>
    <w:rPr>
      <w:b/>
      <w:caps/>
      <w:noProof/>
      <w:lang w:val="sr-Cyrl-RS"/>
    </w:rPr>
  </w:style>
  <w:style w:type="numbering" w:customStyle="1" w:styleId="Numerisanje">
    <w:name w:val="Numerisanje"/>
    <w:basedOn w:val="NoList"/>
    <w:uiPriority w:val="99"/>
    <w:rsid w:val="001538EF"/>
    <w:pPr>
      <w:numPr>
        <w:numId w:val="4"/>
      </w:numPr>
    </w:pPr>
  </w:style>
  <w:style w:type="paragraph" w:customStyle="1" w:styleId="lan">
    <w:name w:val="Član"/>
    <w:basedOn w:val="Normal"/>
    <w:qFormat/>
    <w:rsid w:val="001538EF"/>
    <w:pPr>
      <w:keepNext/>
      <w:numPr>
        <w:numId w:val="5"/>
      </w:numPr>
      <w:spacing w:before="360" w:after="240"/>
      <w:ind w:left="0" w:firstLine="0"/>
      <w:jc w:val="center"/>
    </w:pPr>
    <w:rPr>
      <w:b/>
      <w:noProof/>
    </w:rPr>
  </w:style>
  <w:style w:type="paragraph" w:customStyle="1" w:styleId="Oznacavanje">
    <w:name w:val="Oznacavanje"/>
    <w:basedOn w:val="Normal"/>
    <w:qFormat/>
    <w:rsid w:val="001538EF"/>
    <w:pPr>
      <w:numPr>
        <w:numId w:val="3"/>
      </w:numPr>
      <w:ind w:left="851" w:hanging="284"/>
    </w:pPr>
    <w:rPr>
      <w:noProof/>
      <w:lang w:val="sr-Cyrl-RS"/>
    </w:rPr>
  </w:style>
  <w:style w:type="table" w:customStyle="1" w:styleId="TableGrid1">
    <w:name w:val="Table Grid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538EF"/>
    <w:pPr>
      <w:keepNext/>
      <w:keepLines/>
      <w:spacing w:before="480" w:after="0" w:line="276" w:lineRule="auto"/>
      <w:jc w:val="left"/>
      <w:outlineLvl w:val="9"/>
    </w:pPr>
    <w:rPr>
      <w:rFonts w:asciiTheme="majorHAnsi" w:eastAsiaTheme="majorEastAsia" w:hAnsiTheme="majorHAnsi" w:cstheme="majorBidi"/>
      <w:b w:val="0"/>
      <w:bCs/>
      <w:caps w:val="0"/>
      <w:color w:val="365F91" w:themeColor="accent1" w:themeShade="BF"/>
      <w:kern w:val="0"/>
      <w:sz w:val="28"/>
      <w:szCs w:val="28"/>
      <w:lang w:val="en-US" w:eastAsia="ja-JP"/>
    </w:rPr>
  </w:style>
  <w:style w:type="numbering" w:customStyle="1" w:styleId="NoList1">
    <w:name w:val="No List1"/>
    <w:next w:val="NoList"/>
    <w:uiPriority w:val="99"/>
    <w:semiHidden/>
    <w:unhideWhenUsed/>
    <w:rsid w:val="001538EF"/>
  </w:style>
  <w:style w:type="table" w:customStyle="1" w:styleId="TableGrid3">
    <w:name w:val="Table Grid3"/>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 21"/>
    <w:basedOn w:val="TableNormal"/>
    <w:next w:val="TableGrid20"/>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Web21">
    <w:name w:val="Table Web 21"/>
    <w:basedOn w:val="TableNormal"/>
    <w:next w:val="TableWeb2"/>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538EF"/>
    <w:rPr>
      <w:color w:val="800080"/>
      <w:u w:val="single"/>
    </w:rPr>
  </w:style>
  <w:style w:type="paragraph" w:customStyle="1" w:styleId="xl66">
    <w:name w:val="xl6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7">
    <w:name w:val="xl6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8">
    <w:name w:val="xl68"/>
    <w:basedOn w:val="Normal"/>
    <w:rsid w:val="001538EF"/>
    <w:pPr>
      <w:pBdr>
        <w:top w:val="single" w:sz="8" w:space="0" w:color="auto"/>
        <w:left w:val="single" w:sz="8"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69">
    <w:name w:val="xl69"/>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0">
    <w:name w:val="xl70"/>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1">
    <w:name w:val="xl71"/>
    <w:basedOn w:val="Normal"/>
    <w:rsid w:val="001538EF"/>
    <w:pPr>
      <w:pBdr>
        <w:top w:val="single" w:sz="8" w:space="0" w:color="auto"/>
        <w:left w:val="single" w:sz="4" w:space="0" w:color="auto"/>
        <w:bottom w:val="single" w:sz="8" w:space="0" w:color="auto"/>
        <w:right w:val="single" w:sz="8" w:space="0" w:color="auto"/>
      </w:pBdr>
      <w:spacing w:before="100" w:beforeAutospacing="1" w:after="100" w:afterAutospacing="1"/>
      <w:jc w:val="left"/>
    </w:pPr>
    <w:rPr>
      <w:b/>
      <w:bCs/>
      <w:color w:val="auto"/>
    </w:rPr>
  </w:style>
  <w:style w:type="paragraph" w:customStyle="1" w:styleId="xl72">
    <w:name w:val="xl72"/>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rPr>
  </w:style>
  <w:style w:type="paragraph" w:customStyle="1" w:styleId="xl73">
    <w:name w:val="xl7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4">
    <w:name w:val="xl7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5">
    <w:name w:val="xl7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6">
    <w:name w:val="xl7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7">
    <w:name w:val="xl77"/>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8">
    <w:name w:val="xl78"/>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9">
    <w:name w:val="xl79"/>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80">
    <w:name w:val="xl80"/>
    <w:basedOn w:val="Normal"/>
    <w:rsid w:val="001538EF"/>
    <w:pPr>
      <w:pBdr>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1">
    <w:name w:val="xl8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2">
    <w:name w:val="xl8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83">
    <w:name w:val="xl8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4">
    <w:name w:val="xl8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font5">
    <w:name w:val="font5"/>
    <w:basedOn w:val="Normal"/>
    <w:rsid w:val="001538EF"/>
    <w:pPr>
      <w:spacing w:before="100" w:beforeAutospacing="1" w:after="100" w:afterAutospacing="1"/>
      <w:jc w:val="left"/>
    </w:pPr>
    <w:rPr>
      <w:rFonts w:ascii="Calibri" w:hAnsi="Calibri"/>
      <w:b/>
      <w:bCs/>
      <w:lang w:val="en-US" w:eastAsia="en-US"/>
    </w:rPr>
  </w:style>
  <w:style w:type="paragraph" w:customStyle="1" w:styleId="xl65">
    <w:name w:val="xl65"/>
    <w:basedOn w:val="Normal"/>
    <w:rsid w:val="001538EF"/>
    <w:pPr>
      <w:spacing w:before="100" w:beforeAutospacing="1" w:after="100" w:afterAutospacing="1"/>
      <w:jc w:val="left"/>
    </w:pPr>
    <w:rPr>
      <w:rFonts w:ascii="Calibri" w:hAnsi="Calibri"/>
      <w:color w:val="auto"/>
      <w:lang w:val="en-US" w:eastAsia="en-US"/>
    </w:rPr>
  </w:style>
  <w:style w:type="paragraph" w:customStyle="1" w:styleId="xl85">
    <w:name w:val="xl8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i/>
      <w:iCs/>
      <w:lang w:val="en-US" w:eastAsia="en-US"/>
    </w:rPr>
  </w:style>
  <w:style w:type="paragraph" w:customStyle="1" w:styleId="xl86">
    <w:name w:val="xl8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i/>
      <w:iCs/>
      <w:lang w:val="en-US" w:eastAsia="en-US"/>
    </w:rPr>
  </w:style>
  <w:style w:type="paragraph" w:customStyle="1" w:styleId="xl87">
    <w:name w:val="xl87"/>
    <w:basedOn w:val="Normal"/>
    <w:rsid w:val="001538EF"/>
    <w:pPr>
      <w:spacing w:before="100" w:beforeAutospacing="1" w:after="100" w:afterAutospacing="1"/>
      <w:jc w:val="left"/>
    </w:pPr>
    <w:rPr>
      <w:rFonts w:ascii="Calibri" w:hAnsi="Calibri"/>
      <w:i/>
      <w:iCs/>
      <w:color w:val="auto"/>
      <w:lang w:val="en-US" w:eastAsia="en-US"/>
    </w:rPr>
  </w:style>
  <w:style w:type="paragraph" w:customStyle="1" w:styleId="xl88">
    <w:name w:val="xl8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color w:val="auto"/>
      <w:lang w:val="en-US" w:eastAsia="en-US"/>
    </w:rPr>
  </w:style>
  <w:style w:type="paragraph" w:customStyle="1" w:styleId="xl89">
    <w:name w:val="xl89"/>
    <w:basedOn w:val="Normal"/>
    <w:rsid w:val="001538EF"/>
    <w:pPr>
      <w:spacing w:before="100" w:beforeAutospacing="1" w:after="100" w:afterAutospacing="1"/>
      <w:jc w:val="left"/>
    </w:pPr>
    <w:rPr>
      <w:rFonts w:ascii="Calibri" w:hAnsi="Calibri"/>
      <w:b/>
      <w:bCs/>
      <w:i/>
      <w:iCs/>
      <w:color w:val="auto"/>
      <w:lang w:val="en-US" w:eastAsia="en-US"/>
    </w:rPr>
  </w:style>
  <w:style w:type="paragraph" w:customStyle="1" w:styleId="xl90">
    <w:name w:val="xl9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lang w:val="en-US" w:eastAsia="en-US"/>
    </w:rPr>
  </w:style>
  <w:style w:type="paragraph" w:customStyle="1" w:styleId="xl91">
    <w:name w:val="xl91"/>
    <w:basedOn w:val="Normal"/>
    <w:rsid w:val="001538EF"/>
    <w:pPr>
      <w:spacing w:before="100" w:beforeAutospacing="1" w:after="100" w:afterAutospacing="1"/>
      <w:jc w:val="left"/>
    </w:pPr>
    <w:rPr>
      <w:rFonts w:ascii="Calibri" w:hAnsi="Calibri"/>
      <w:color w:val="auto"/>
      <w:lang w:val="en-US" w:eastAsia="en-US"/>
    </w:rPr>
  </w:style>
  <w:style w:type="paragraph" w:customStyle="1" w:styleId="xl92">
    <w:name w:val="xl9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i/>
      <w:iCs/>
      <w:lang w:val="en-US" w:eastAsia="en-US"/>
    </w:rPr>
  </w:style>
  <w:style w:type="paragraph" w:customStyle="1" w:styleId="xl93">
    <w:name w:val="xl9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lang w:val="en-US" w:eastAsia="en-US"/>
    </w:rPr>
  </w:style>
  <w:style w:type="paragraph" w:customStyle="1" w:styleId="xl94">
    <w:name w:val="xl9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i/>
      <w:iCs/>
      <w:lang w:val="en-US" w:eastAsia="en-US"/>
    </w:rPr>
  </w:style>
  <w:style w:type="paragraph" w:customStyle="1" w:styleId="xl95">
    <w:name w:val="xl9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lang w:val="en-US" w:eastAsia="en-US"/>
    </w:rPr>
  </w:style>
  <w:style w:type="paragraph" w:customStyle="1" w:styleId="xl96">
    <w:name w:val="xl9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7">
    <w:name w:val="xl9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8">
    <w:name w:val="xl9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sz w:val="28"/>
      <w:szCs w:val="28"/>
      <w:lang w:val="en-US" w:eastAsia="en-US"/>
    </w:rPr>
  </w:style>
  <w:style w:type="paragraph" w:customStyle="1" w:styleId="xl99">
    <w:name w:val="xl99"/>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auto"/>
      <w:sz w:val="28"/>
      <w:szCs w:val="28"/>
      <w:lang w:val="en-US" w:eastAsia="en-US"/>
    </w:rPr>
  </w:style>
  <w:style w:type="paragraph" w:customStyle="1" w:styleId="xl100">
    <w:name w:val="xl10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28"/>
      <w:szCs w:val="28"/>
      <w:lang w:val="en-US" w:eastAsia="en-US"/>
    </w:rPr>
  </w:style>
  <w:style w:type="paragraph" w:customStyle="1" w:styleId="xl101">
    <w:name w:val="xl10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paragraph" w:customStyle="1" w:styleId="xl102">
    <w:name w:val="xl10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sz w:val="28"/>
      <w:szCs w:val="28"/>
      <w:lang w:val="en-US" w:eastAsia="en-US"/>
    </w:rPr>
  </w:style>
  <w:style w:type="paragraph" w:customStyle="1" w:styleId="xl103">
    <w:name w:val="xl10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table" w:customStyle="1" w:styleId="TableGrid4">
    <w:name w:val="Table Grid4"/>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4">
    <w:name w:val="xl104"/>
    <w:basedOn w:val="Normal"/>
    <w:rsid w:val="001538EF"/>
    <w:pPr>
      <w:pBdr>
        <w:bottom w:val="single" w:sz="8" w:space="0" w:color="auto"/>
        <w:right w:val="single" w:sz="8" w:space="0" w:color="auto"/>
      </w:pBdr>
      <w:spacing w:before="100" w:beforeAutospacing="1" w:after="100" w:afterAutospacing="1"/>
      <w:jc w:val="right"/>
      <w:textAlignment w:val="center"/>
    </w:pPr>
  </w:style>
  <w:style w:type="paragraph" w:customStyle="1" w:styleId="xl105">
    <w:name w:val="xl105"/>
    <w:basedOn w:val="Normal"/>
    <w:rsid w:val="001538E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i/>
      <w:iCs/>
    </w:rPr>
  </w:style>
  <w:style w:type="paragraph" w:customStyle="1" w:styleId="xl106">
    <w:name w:val="xl106"/>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107">
    <w:name w:val="xl107"/>
    <w:basedOn w:val="Normal"/>
    <w:rsid w:val="001538EF"/>
    <w:pPr>
      <w:pBdr>
        <w:bottom w:val="single" w:sz="8" w:space="0" w:color="auto"/>
        <w:right w:val="single" w:sz="8" w:space="0" w:color="auto"/>
      </w:pBdr>
      <w:spacing w:before="100" w:beforeAutospacing="1" w:after="100" w:afterAutospacing="1"/>
      <w:textAlignment w:val="top"/>
    </w:pPr>
  </w:style>
  <w:style w:type="paragraph" w:customStyle="1" w:styleId="xl108">
    <w:name w:val="xl10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rPr>
  </w:style>
  <w:style w:type="paragraph" w:customStyle="1" w:styleId="xl109">
    <w:name w:val="xl109"/>
    <w:basedOn w:val="Normal"/>
    <w:rsid w:val="001538EF"/>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110">
    <w:name w:val="xl110"/>
    <w:basedOn w:val="Normal"/>
    <w:rsid w:val="001538EF"/>
    <w:pPr>
      <w:spacing w:before="100" w:beforeAutospacing="1" w:after="100" w:afterAutospacing="1"/>
      <w:jc w:val="right"/>
    </w:pPr>
    <w:rPr>
      <w:color w:val="auto"/>
    </w:rPr>
  </w:style>
  <w:style w:type="paragraph" w:customStyle="1" w:styleId="xl111">
    <w:name w:val="xl111"/>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2">
    <w:name w:val="xl112"/>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3">
    <w:name w:val="xl113"/>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14">
    <w:name w:val="xl114"/>
    <w:basedOn w:val="Normal"/>
    <w:rsid w:val="001538EF"/>
    <w:pPr>
      <w:pBdr>
        <w:bottom w:val="single" w:sz="8" w:space="0" w:color="auto"/>
        <w:right w:val="single" w:sz="8" w:space="0" w:color="auto"/>
      </w:pBdr>
      <w:spacing w:before="100" w:beforeAutospacing="1" w:after="100" w:afterAutospacing="1"/>
      <w:textAlignment w:val="center"/>
    </w:pPr>
    <w:rPr>
      <w:color w:val="auto"/>
      <w:sz w:val="18"/>
      <w:szCs w:val="18"/>
    </w:rPr>
  </w:style>
  <w:style w:type="paragraph" w:customStyle="1" w:styleId="xl115">
    <w:name w:val="xl115"/>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color w:val="auto"/>
      <w:sz w:val="18"/>
      <w:szCs w:val="18"/>
    </w:rPr>
  </w:style>
  <w:style w:type="paragraph" w:customStyle="1" w:styleId="xl116">
    <w:name w:val="xl11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7">
    <w:name w:val="xl11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8">
    <w:name w:val="xl118"/>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9">
    <w:name w:val="xl119"/>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20">
    <w:name w:val="xl120"/>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1">
    <w:name w:val="xl121"/>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2">
    <w:name w:val="xl122"/>
    <w:basedOn w:val="Normal"/>
    <w:rsid w:val="001538EF"/>
    <w:pPr>
      <w:pBdr>
        <w:bottom w:val="single" w:sz="8" w:space="0" w:color="auto"/>
        <w:right w:val="single" w:sz="8" w:space="0" w:color="auto"/>
      </w:pBdr>
      <w:spacing w:before="100" w:beforeAutospacing="1" w:after="100" w:afterAutospacing="1"/>
      <w:jc w:val="right"/>
      <w:textAlignment w:val="center"/>
    </w:pPr>
    <w:rPr>
      <w:b/>
      <w:bCs/>
      <w:i/>
      <w:iCs/>
      <w:sz w:val="18"/>
      <w:szCs w:val="18"/>
    </w:rPr>
  </w:style>
  <w:style w:type="paragraph" w:customStyle="1" w:styleId="xl123">
    <w:name w:val="xl123"/>
    <w:basedOn w:val="Normal"/>
    <w:rsid w:val="001538EF"/>
    <w:pPr>
      <w:pBdr>
        <w:bottom w:val="single" w:sz="8" w:space="0" w:color="auto"/>
        <w:right w:val="single" w:sz="8" w:space="0" w:color="auto"/>
      </w:pBdr>
      <w:spacing w:before="100" w:beforeAutospacing="1" w:after="100" w:afterAutospacing="1"/>
      <w:textAlignment w:val="center"/>
    </w:pPr>
    <w:rPr>
      <w:b/>
      <w:bCs/>
      <w:i/>
      <w:iCs/>
      <w:sz w:val="18"/>
      <w:szCs w:val="18"/>
    </w:rPr>
  </w:style>
  <w:style w:type="paragraph" w:customStyle="1" w:styleId="xl124">
    <w:name w:val="xl124"/>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5">
    <w:name w:val="xl125"/>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paragraph" w:customStyle="1" w:styleId="xl126">
    <w:name w:val="xl12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7">
    <w:name w:val="xl12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8">
    <w:name w:val="xl128"/>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character" w:customStyle="1" w:styleId="tekst1">
    <w:name w:val="tekst1"/>
    <w:rsid w:val="001538EF"/>
    <w:rPr>
      <w:rFonts w:ascii="Arial" w:hAnsi="Arial" w:cs="Arial" w:hint="default"/>
      <w:color w:val="000000"/>
      <w:sz w:val="18"/>
      <w:szCs w:val="18"/>
    </w:rPr>
  </w:style>
  <w:style w:type="paragraph" w:styleId="NoSpacing">
    <w:name w:val="No Spacing"/>
    <w:uiPriority w:val="1"/>
    <w:qFormat/>
    <w:rsid w:val="001538EF"/>
    <w:pPr>
      <w:spacing w:after="0" w:line="240" w:lineRule="auto"/>
      <w:jc w:val="both"/>
    </w:pPr>
    <w:rPr>
      <w:rFonts w:ascii="Times New Roman" w:eastAsia="Times New Roman" w:hAnsi="Times New Roman" w:cs="Times New Roman"/>
      <w:color w:val="000000"/>
      <w:sz w:val="24"/>
      <w:szCs w:val="24"/>
      <w:lang w:eastAsia="bs-Latn-BA"/>
    </w:rPr>
  </w:style>
  <w:style w:type="paragraph" w:customStyle="1" w:styleId="font6">
    <w:name w:val="font6"/>
    <w:basedOn w:val="Normal"/>
    <w:rsid w:val="001538EF"/>
    <w:pPr>
      <w:spacing w:before="100" w:beforeAutospacing="1" w:after="100" w:afterAutospacing="1"/>
      <w:jc w:val="left"/>
    </w:pPr>
    <w:rPr>
      <w:rFonts w:ascii="Tahoma" w:hAnsi="Tahoma" w:cs="Tahoma"/>
      <w:b/>
      <w:bCs/>
      <w:sz w:val="18"/>
      <w:szCs w:val="18"/>
    </w:rPr>
  </w:style>
  <w:style w:type="paragraph" w:customStyle="1" w:styleId="xl129">
    <w:name w:val="xl129"/>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i/>
      <w:iCs/>
      <w:color w:val="auto"/>
      <w:sz w:val="18"/>
      <w:szCs w:val="18"/>
    </w:rPr>
  </w:style>
  <w:style w:type="paragraph" w:customStyle="1" w:styleId="xl130">
    <w:name w:val="xl130"/>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1">
    <w:name w:val="xl131"/>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2">
    <w:name w:val="xl132"/>
    <w:basedOn w:val="Normal"/>
    <w:rsid w:val="001538EF"/>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3">
    <w:name w:val="xl133"/>
    <w:basedOn w:val="Normal"/>
    <w:rsid w:val="001538EF"/>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4">
    <w:name w:val="xl13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table" w:customStyle="1" w:styleId="TableGrid5">
    <w:name w:val="Table Grid5"/>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semiHidden/>
    <w:unhideWhenUsed/>
    <w:qFormat/>
    <w:rsid w:val="001538EF"/>
    <w:pPr>
      <w:spacing w:after="100" w:line="276" w:lineRule="auto"/>
      <w:ind w:left="440"/>
      <w:jc w:val="left"/>
    </w:pPr>
    <w:rPr>
      <w:rFonts w:asciiTheme="minorHAnsi" w:eastAsiaTheme="minorEastAsia" w:hAnsiTheme="minorHAnsi" w:cstheme="minorBidi"/>
      <w:color w:val="auto"/>
      <w:sz w:val="22"/>
      <w:szCs w:val="22"/>
      <w:lang w:val="en-US" w:eastAsia="ja-JP"/>
    </w:rPr>
  </w:style>
  <w:style w:type="paragraph" w:customStyle="1" w:styleId="xl135">
    <w:name w:val="xl135"/>
    <w:basedOn w:val="Normal"/>
    <w:rsid w:val="001538E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
    <w:rsid w:val="001538E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color w:val="auto"/>
      <w:sz w:val="18"/>
      <w:szCs w:val="18"/>
    </w:rPr>
  </w:style>
  <w:style w:type="paragraph" w:customStyle="1" w:styleId="xl137">
    <w:name w:val="xl137"/>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8">
    <w:name w:val="xl138"/>
    <w:basedOn w:val="Normal"/>
    <w:rsid w:val="001538EF"/>
    <w:pPr>
      <w:pBdr>
        <w:top w:val="single" w:sz="4" w:space="0" w:color="auto"/>
        <w:bottom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9">
    <w:name w:val="xl139"/>
    <w:basedOn w:val="Normal"/>
    <w:rsid w:val="001538EF"/>
    <w:pPr>
      <w:pBdr>
        <w:top w:val="single" w:sz="4" w:space="0" w:color="auto"/>
        <w:right w:val="single" w:sz="4" w:space="0" w:color="auto"/>
      </w:pBdr>
      <w:shd w:val="clear" w:color="000000" w:fill="FCD5B4"/>
      <w:spacing w:before="100" w:beforeAutospacing="1" w:after="100" w:afterAutospacing="1"/>
      <w:jc w:val="left"/>
      <w:textAlignment w:val="center"/>
    </w:pPr>
    <w:rPr>
      <w:b/>
      <w:bCs/>
      <w:sz w:val="18"/>
      <w:szCs w:val="18"/>
    </w:rPr>
  </w:style>
  <w:style w:type="paragraph" w:customStyle="1" w:styleId="xl140">
    <w:name w:val="xl140"/>
    <w:basedOn w:val="Normal"/>
    <w:rsid w:val="001538EF"/>
    <w:pPr>
      <w:spacing w:before="100" w:beforeAutospacing="1" w:after="100" w:afterAutospacing="1"/>
      <w:jc w:val="left"/>
    </w:pPr>
    <w:rPr>
      <w:color w:val="auto"/>
      <w:sz w:val="18"/>
      <w:szCs w:val="18"/>
    </w:rPr>
  </w:style>
  <w:style w:type="paragraph" w:customStyle="1" w:styleId="xl141">
    <w:name w:val="xl141"/>
    <w:basedOn w:val="Normal"/>
    <w:rsid w:val="001538EF"/>
    <w:pPr>
      <w:spacing w:before="100" w:beforeAutospacing="1" w:after="100" w:afterAutospacing="1"/>
      <w:jc w:val="right"/>
      <w:textAlignment w:val="center"/>
    </w:pPr>
    <w:rPr>
      <w:color w:val="auto"/>
      <w:sz w:val="18"/>
      <w:szCs w:val="18"/>
    </w:rPr>
  </w:style>
  <w:style w:type="table" w:customStyle="1" w:styleId="TableGrid51">
    <w:name w:val="Table Grid51"/>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1,b,heading3,Body Text - Level 2,Body Text x,Szövegtörzs1,body text,contents,body,b-heading 1/heading 2,bd,heading1body-heading2body,bt"/>
    <w:basedOn w:val="Normal"/>
    <w:link w:val="BodyTextChar"/>
    <w:uiPriority w:val="99"/>
    <w:rsid w:val="001538EF"/>
    <w:pPr>
      <w:widowControl w:val="0"/>
      <w:spacing w:after="240"/>
      <w:jc w:val="left"/>
    </w:pPr>
    <w:rPr>
      <w:color w:val="auto"/>
      <w:szCs w:val="20"/>
      <w:lang w:val="en-US" w:eastAsia="en-US"/>
    </w:rPr>
  </w:style>
  <w:style w:type="character" w:customStyle="1" w:styleId="BodyTextChar">
    <w:name w:val="Body Text Char"/>
    <w:aliases w:val="Body Text1 Char,b Char,heading3 Char,Body Text - Level 2 Char,Body Text x Char,Szövegtörzs1 Char,body text Char,contents Char,body Char,b-heading 1/heading 2 Char,bd Char,heading1body-heading2body Char,bt Char"/>
    <w:basedOn w:val="DefaultParagraphFont"/>
    <w:link w:val="BodyText"/>
    <w:uiPriority w:val="99"/>
    <w:rsid w:val="001538EF"/>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1538EF"/>
    <w:pPr>
      <w:widowControl w:val="0"/>
      <w:autoSpaceDE w:val="0"/>
      <w:autoSpaceDN w:val="0"/>
      <w:ind w:left="105"/>
      <w:jc w:val="left"/>
    </w:pPr>
    <w:rPr>
      <w:color w:val="auto"/>
      <w:sz w:val="22"/>
      <w:szCs w:val="22"/>
      <w:lang w:val="en-US" w:eastAsia="en-US"/>
    </w:rPr>
  </w:style>
  <w:style w:type="paragraph" w:customStyle="1" w:styleId="xl63">
    <w:name w:val="xl63"/>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Narrow" w:hAnsi="Arial Narrow"/>
      <w:b/>
      <w:bCs/>
      <w:color w:val="080000"/>
    </w:rPr>
  </w:style>
  <w:style w:type="paragraph" w:customStyle="1" w:styleId="xl64">
    <w:name w:val="xl64"/>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bottom"/>
    </w:pPr>
    <w:rPr>
      <w:rFonts w:ascii="Arial Narrow" w:hAnsi="Arial Narrow"/>
      <w:b/>
      <w:bCs/>
      <w:color w:val="080000"/>
    </w:rPr>
  </w:style>
  <w:style w:type="numbering" w:customStyle="1" w:styleId="Stil1">
    <w:name w:val="Stil1"/>
    <w:uiPriority w:val="99"/>
    <w:rsid w:val="001538EF"/>
    <w:pPr>
      <w:numPr>
        <w:numId w:val="6"/>
      </w:numPr>
    </w:pPr>
  </w:style>
  <w:style w:type="numbering" w:customStyle="1" w:styleId="Stil2">
    <w:name w:val="Stil2"/>
    <w:uiPriority w:val="99"/>
    <w:rsid w:val="001538EF"/>
    <w:pPr>
      <w:numPr>
        <w:numId w:val="12"/>
      </w:numPr>
    </w:pPr>
  </w:style>
  <w:style w:type="numbering" w:customStyle="1" w:styleId="Stil5">
    <w:name w:val="Stil5"/>
    <w:uiPriority w:val="99"/>
    <w:rsid w:val="001538EF"/>
    <w:pPr>
      <w:numPr>
        <w:numId w:val="13"/>
      </w:numPr>
    </w:pPr>
  </w:style>
  <w:style w:type="paragraph" w:customStyle="1" w:styleId="Heading11">
    <w:name w:val="Heading 11"/>
    <w:basedOn w:val="Normal"/>
    <w:rsid w:val="001538EF"/>
    <w:pPr>
      <w:numPr>
        <w:numId w:val="17"/>
      </w:numPr>
      <w:spacing w:after="240"/>
      <w:ind w:left="357" w:hanging="357"/>
    </w:pPr>
    <w:rPr>
      <w:rFonts w:ascii="Calibri" w:hAnsi="Calibri"/>
      <w:b/>
      <w:caps/>
      <w:sz w:val="22"/>
    </w:rPr>
  </w:style>
  <w:style w:type="paragraph" w:customStyle="1" w:styleId="Heading21">
    <w:name w:val="Heading 21"/>
    <w:basedOn w:val="Normal"/>
    <w:rsid w:val="001538EF"/>
    <w:pPr>
      <w:numPr>
        <w:ilvl w:val="1"/>
        <w:numId w:val="17"/>
      </w:numPr>
    </w:pPr>
  </w:style>
  <w:style w:type="paragraph" w:customStyle="1" w:styleId="Heading31">
    <w:name w:val="Heading 31"/>
    <w:basedOn w:val="Normal"/>
    <w:rsid w:val="001538EF"/>
    <w:pPr>
      <w:numPr>
        <w:ilvl w:val="2"/>
        <w:numId w:val="17"/>
      </w:numPr>
    </w:pPr>
  </w:style>
  <w:style w:type="paragraph" w:customStyle="1" w:styleId="Heading41">
    <w:name w:val="Heading 41"/>
    <w:basedOn w:val="Normal"/>
    <w:rsid w:val="001538EF"/>
    <w:pPr>
      <w:numPr>
        <w:ilvl w:val="3"/>
        <w:numId w:val="17"/>
      </w:numPr>
    </w:pPr>
  </w:style>
  <w:style w:type="paragraph" w:customStyle="1" w:styleId="Heading51">
    <w:name w:val="Heading 51"/>
    <w:basedOn w:val="Normal"/>
    <w:rsid w:val="001538EF"/>
    <w:pPr>
      <w:numPr>
        <w:ilvl w:val="4"/>
        <w:numId w:val="17"/>
      </w:numPr>
    </w:pPr>
  </w:style>
  <w:style w:type="paragraph" w:customStyle="1" w:styleId="Heading61">
    <w:name w:val="Heading 61"/>
    <w:basedOn w:val="Normal"/>
    <w:rsid w:val="001538EF"/>
    <w:pPr>
      <w:numPr>
        <w:ilvl w:val="5"/>
        <w:numId w:val="17"/>
      </w:numPr>
    </w:pPr>
  </w:style>
  <w:style w:type="paragraph" w:customStyle="1" w:styleId="Heading71">
    <w:name w:val="Heading 71"/>
    <w:basedOn w:val="Normal"/>
    <w:rsid w:val="001538EF"/>
    <w:pPr>
      <w:numPr>
        <w:ilvl w:val="6"/>
        <w:numId w:val="17"/>
      </w:numPr>
    </w:pPr>
  </w:style>
  <w:style w:type="paragraph" w:customStyle="1" w:styleId="Heading81">
    <w:name w:val="Heading 81"/>
    <w:basedOn w:val="Normal"/>
    <w:rsid w:val="001538EF"/>
    <w:pPr>
      <w:numPr>
        <w:ilvl w:val="7"/>
        <w:numId w:val="17"/>
      </w:numPr>
    </w:pPr>
  </w:style>
  <w:style w:type="paragraph" w:customStyle="1" w:styleId="Heading91">
    <w:name w:val="Heading 91"/>
    <w:basedOn w:val="Normal"/>
    <w:rsid w:val="001538EF"/>
    <w:pPr>
      <w:numPr>
        <w:ilvl w:val="8"/>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6840">
      <w:bodyDiv w:val="1"/>
      <w:marLeft w:val="0"/>
      <w:marRight w:val="0"/>
      <w:marTop w:val="0"/>
      <w:marBottom w:val="0"/>
      <w:divBdr>
        <w:top w:val="none" w:sz="0" w:space="0" w:color="auto"/>
        <w:left w:val="none" w:sz="0" w:space="0" w:color="auto"/>
        <w:bottom w:val="none" w:sz="0" w:space="0" w:color="auto"/>
        <w:right w:val="none" w:sz="0" w:space="0" w:color="auto"/>
      </w:divBdr>
    </w:div>
    <w:div w:id="22679829">
      <w:bodyDiv w:val="1"/>
      <w:marLeft w:val="0"/>
      <w:marRight w:val="0"/>
      <w:marTop w:val="0"/>
      <w:marBottom w:val="0"/>
      <w:divBdr>
        <w:top w:val="none" w:sz="0" w:space="0" w:color="auto"/>
        <w:left w:val="none" w:sz="0" w:space="0" w:color="auto"/>
        <w:bottom w:val="none" w:sz="0" w:space="0" w:color="auto"/>
        <w:right w:val="none" w:sz="0" w:space="0" w:color="auto"/>
      </w:divBdr>
    </w:div>
    <w:div w:id="48647637">
      <w:bodyDiv w:val="1"/>
      <w:marLeft w:val="0"/>
      <w:marRight w:val="0"/>
      <w:marTop w:val="0"/>
      <w:marBottom w:val="0"/>
      <w:divBdr>
        <w:top w:val="none" w:sz="0" w:space="0" w:color="auto"/>
        <w:left w:val="none" w:sz="0" w:space="0" w:color="auto"/>
        <w:bottom w:val="none" w:sz="0" w:space="0" w:color="auto"/>
        <w:right w:val="none" w:sz="0" w:space="0" w:color="auto"/>
      </w:divBdr>
    </w:div>
    <w:div w:id="91751571">
      <w:bodyDiv w:val="1"/>
      <w:marLeft w:val="0"/>
      <w:marRight w:val="0"/>
      <w:marTop w:val="0"/>
      <w:marBottom w:val="0"/>
      <w:divBdr>
        <w:top w:val="none" w:sz="0" w:space="0" w:color="auto"/>
        <w:left w:val="none" w:sz="0" w:space="0" w:color="auto"/>
        <w:bottom w:val="none" w:sz="0" w:space="0" w:color="auto"/>
        <w:right w:val="none" w:sz="0" w:space="0" w:color="auto"/>
      </w:divBdr>
    </w:div>
    <w:div w:id="123667048">
      <w:bodyDiv w:val="1"/>
      <w:marLeft w:val="0"/>
      <w:marRight w:val="0"/>
      <w:marTop w:val="0"/>
      <w:marBottom w:val="0"/>
      <w:divBdr>
        <w:top w:val="none" w:sz="0" w:space="0" w:color="auto"/>
        <w:left w:val="none" w:sz="0" w:space="0" w:color="auto"/>
        <w:bottom w:val="none" w:sz="0" w:space="0" w:color="auto"/>
        <w:right w:val="none" w:sz="0" w:space="0" w:color="auto"/>
      </w:divBdr>
    </w:div>
    <w:div w:id="158431020">
      <w:bodyDiv w:val="1"/>
      <w:marLeft w:val="0"/>
      <w:marRight w:val="0"/>
      <w:marTop w:val="0"/>
      <w:marBottom w:val="0"/>
      <w:divBdr>
        <w:top w:val="none" w:sz="0" w:space="0" w:color="auto"/>
        <w:left w:val="none" w:sz="0" w:space="0" w:color="auto"/>
        <w:bottom w:val="none" w:sz="0" w:space="0" w:color="auto"/>
        <w:right w:val="none" w:sz="0" w:space="0" w:color="auto"/>
      </w:divBdr>
    </w:div>
    <w:div w:id="206768155">
      <w:bodyDiv w:val="1"/>
      <w:marLeft w:val="0"/>
      <w:marRight w:val="0"/>
      <w:marTop w:val="0"/>
      <w:marBottom w:val="0"/>
      <w:divBdr>
        <w:top w:val="none" w:sz="0" w:space="0" w:color="auto"/>
        <w:left w:val="none" w:sz="0" w:space="0" w:color="auto"/>
        <w:bottom w:val="none" w:sz="0" w:space="0" w:color="auto"/>
        <w:right w:val="none" w:sz="0" w:space="0" w:color="auto"/>
      </w:divBdr>
    </w:div>
    <w:div w:id="237906957">
      <w:bodyDiv w:val="1"/>
      <w:marLeft w:val="0"/>
      <w:marRight w:val="0"/>
      <w:marTop w:val="0"/>
      <w:marBottom w:val="0"/>
      <w:divBdr>
        <w:top w:val="none" w:sz="0" w:space="0" w:color="auto"/>
        <w:left w:val="none" w:sz="0" w:space="0" w:color="auto"/>
        <w:bottom w:val="none" w:sz="0" w:space="0" w:color="auto"/>
        <w:right w:val="none" w:sz="0" w:space="0" w:color="auto"/>
      </w:divBdr>
    </w:div>
    <w:div w:id="247274794">
      <w:bodyDiv w:val="1"/>
      <w:marLeft w:val="0"/>
      <w:marRight w:val="0"/>
      <w:marTop w:val="0"/>
      <w:marBottom w:val="0"/>
      <w:divBdr>
        <w:top w:val="none" w:sz="0" w:space="0" w:color="auto"/>
        <w:left w:val="none" w:sz="0" w:space="0" w:color="auto"/>
        <w:bottom w:val="none" w:sz="0" w:space="0" w:color="auto"/>
        <w:right w:val="none" w:sz="0" w:space="0" w:color="auto"/>
      </w:divBdr>
    </w:div>
    <w:div w:id="320622391">
      <w:bodyDiv w:val="1"/>
      <w:marLeft w:val="0"/>
      <w:marRight w:val="0"/>
      <w:marTop w:val="0"/>
      <w:marBottom w:val="0"/>
      <w:divBdr>
        <w:top w:val="none" w:sz="0" w:space="0" w:color="auto"/>
        <w:left w:val="none" w:sz="0" w:space="0" w:color="auto"/>
        <w:bottom w:val="none" w:sz="0" w:space="0" w:color="auto"/>
        <w:right w:val="none" w:sz="0" w:space="0" w:color="auto"/>
      </w:divBdr>
    </w:div>
    <w:div w:id="387385510">
      <w:bodyDiv w:val="1"/>
      <w:marLeft w:val="0"/>
      <w:marRight w:val="0"/>
      <w:marTop w:val="0"/>
      <w:marBottom w:val="0"/>
      <w:divBdr>
        <w:top w:val="none" w:sz="0" w:space="0" w:color="auto"/>
        <w:left w:val="none" w:sz="0" w:space="0" w:color="auto"/>
        <w:bottom w:val="none" w:sz="0" w:space="0" w:color="auto"/>
        <w:right w:val="none" w:sz="0" w:space="0" w:color="auto"/>
      </w:divBdr>
    </w:div>
    <w:div w:id="423958650">
      <w:bodyDiv w:val="1"/>
      <w:marLeft w:val="0"/>
      <w:marRight w:val="0"/>
      <w:marTop w:val="0"/>
      <w:marBottom w:val="0"/>
      <w:divBdr>
        <w:top w:val="none" w:sz="0" w:space="0" w:color="auto"/>
        <w:left w:val="none" w:sz="0" w:space="0" w:color="auto"/>
        <w:bottom w:val="none" w:sz="0" w:space="0" w:color="auto"/>
        <w:right w:val="none" w:sz="0" w:space="0" w:color="auto"/>
      </w:divBdr>
    </w:div>
    <w:div w:id="437681345">
      <w:bodyDiv w:val="1"/>
      <w:marLeft w:val="0"/>
      <w:marRight w:val="0"/>
      <w:marTop w:val="0"/>
      <w:marBottom w:val="0"/>
      <w:divBdr>
        <w:top w:val="none" w:sz="0" w:space="0" w:color="auto"/>
        <w:left w:val="none" w:sz="0" w:space="0" w:color="auto"/>
        <w:bottom w:val="none" w:sz="0" w:space="0" w:color="auto"/>
        <w:right w:val="none" w:sz="0" w:space="0" w:color="auto"/>
      </w:divBdr>
    </w:div>
    <w:div w:id="512307475">
      <w:bodyDiv w:val="1"/>
      <w:marLeft w:val="0"/>
      <w:marRight w:val="0"/>
      <w:marTop w:val="0"/>
      <w:marBottom w:val="0"/>
      <w:divBdr>
        <w:top w:val="none" w:sz="0" w:space="0" w:color="auto"/>
        <w:left w:val="none" w:sz="0" w:space="0" w:color="auto"/>
        <w:bottom w:val="none" w:sz="0" w:space="0" w:color="auto"/>
        <w:right w:val="none" w:sz="0" w:space="0" w:color="auto"/>
      </w:divBdr>
    </w:div>
    <w:div w:id="638267306">
      <w:bodyDiv w:val="1"/>
      <w:marLeft w:val="0"/>
      <w:marRight w:val="0"/>
      <w:marTop w:val="0"/>
      <w:marBottom w:val="0"/>
      <w:divBdr>
        <w:top w:val="none" w:sz="0" w:space="0" w:color="auto"/>
        <w:left w:val="none" w:sz="0" w:space="0" w:color="auto"/>
        <w:bottom w:val="none" w:sz="0" w:space="0" w:color="auto"/>
        <w:right w:val="none" w:sz="0" w:space="0" w:color="auto"/>
      </w:divBdr>
    </w:div>
    <w:div w:id="739257971">
      <w:bodyDiv w:val="1"/>
      <w:marLeft w:val="0"/>
      <w:marRight w:val="0"/>
      <w:marTop w:val="0"/>
      <w:marBottom w:val="0"/>
      <w:divBdr>
        <w:top w:val="none" w:sz="0" w:space="0" w:color="auto"/>
        <w:left w:val="none" w:sz="0" w:space="0" w:color="auto"/>
        <w:bottom w:val="none" w:sz="0" w:space="0" w:color="auto"/>
        <w:right w:val="none" w:sz="0" w:space="0" w:color="auto"/>
      </w:divBdr>
    </w:div>
    <w:div w:id="746461805">
      <w:bodyDiv w:val="1"/>
      <w:marLeft w:val="0"/>
      <w:marRight w:val="0"/>
      <w:marTop w:val="0"/>
      <w:marBottom w:val="0"/>
      <w:divBdr>
        <w:top w:val="none" w:sz="0" w:space="0" w:color="auto"/>
        <w:left w:val="none" w:sz="0" w:space="0" w:color="auto"/>
        <w:bottom w:val="none" w:sz="0" w:space="0" w:color="auto"/>
        <w:right w:val="none" w:sz="0" w:space="0" w:color="auto"/>
      </w:divBdr>
    </w:div>
    <w:div w:id="808478051">
      <w:bodyDiv w:val="1"/>
      <w:marLeft w:val="0"/>
      <w:marRight w:val="0"/>
      <w:marTop w:val="0"/>
      <w:marBottom w:val="0"/>
      <w:divBdr>
        <w:top w:val="none" w:sz="0" w:space="0" w:color="auto"/>
        <w:left w:val="none" w:sz="0" w:space="0" w:color="auto"/>
        <w:bottom w:val="none" w:sz="0" w:space="0" w:color="auto"/>
        <w:right w:val="none" w:sz="0" w:space="0" w:color="auto"/>
      </w:divBdr>
    </w:div>
    <w:div w:id="950010767">
      <w:bodyDiv w:val="1"/>
      <w:marLeft w:val="0"/>
      <w:marRight w:val="0"/>
      <w:marTop w:val="0"/>
      <w:marBottom w:val="0"/>
      <w:divBdr>
        <w:top w:val="none" w:sz="0" w:space="0" w:color="auto"/>
        <w:left w:val="none" w:sz="0" w:space="0" w:color="auto"/>
        <w:bottom w:val="none" w:sz="0" w:space="0" w:color="auto"/>
        <w:right w:val="none" w:sz="0" w:space="0" w:color="auto"/>
      </w:divBdr>
    </w:div>
    <w:div w:id="981234571">
      <w:bodyDiv w:val="1"/>
      <w:marLeft w:val="0"/>
      <w:marRight w:val="0"/>
      <w:marTop w:val="0"/>
      <w:marBottom w:val="0"/>
      <w:divBdr>
        <w:top w:val="none" w:sz="0" w:space="0" w:color="auto"/>
        <w:left w:val="none" w:sz="0" w:space="0" w:color="auto"/>
        <w:bottom w:val="none" w:sz="0" w:space="0" w:color="auto"/>
        <w:right w:val="none" w:sz="0" w:space="0" w:color="auto"/>
      </w:divBdr>
    </w:div>
    <w:div w:id="1133517935">
      <w:bodyDiv w:val="1"/>
      <w:marLeft w:val="0"/>
      <w:marRight w:val="0"/>
      <w:marTop w:val="0"/>
      <w:marBottom w:val="0"/>
      <w:divBdr>
        <w:top w:val="none" w:sz="0" w:space="0" w:color="auto"/>
        <w:left w:val="none" w:sz="0" w:space="0" w:color="auto"/>
        <w:bottom w:val="none" w:sz="0" w:space="0" w:color="auto"/>
        <w:right w:val="none" w:sz="0" w:space="0" w:color="auto"/>
      </w:divBdr>
    </w:div>
    <w:div w:id="1192497246">
      <w:bodyDiv w:val="1"/>
      <w:marLeft w:val="0"/>
      <w:marRight w:val="0"/>
      <w:marTop w:val="0"/>
      <w:marBottom w:val="0"/>
      <w:divBdr>
        <w:top w:val="none" w:sz="0" w:space="0" w:color="auto"/>
        <w:left w:val="none" w:sz="0" w:space="0" w:color="auto"/>
        <w:bottom w:val="none" w:sz="0" w:space="0" w:color="auto"/>
        <w:right w:val="none" w:sz="0" w:space="0" w:color="auto"/>
      </w:divBdr>
    </w:div>
    <w:div w:id="1204364142">
      <w:bodyDiv w:val="1"/>
      <w:marLeft w:val="0"/>
      <w:marRight w:val="0"/>
      <w:marTop w:val="0"/>
      <w:marBottom w:val="0"/>
      <w:divBdr>
        <w:top w:val="none" w:sz="0" w:space="0" w:color="auto"/>
        <w:left w:val="none" w:sz="0" w:space="0" w:color="auto"/>
        <w:bottom w:val="none" w:sz="0" w:space="0" w:color="auto"/>
        <w:right w:val="none" w:sz="0" w:space="0" w:color="auto"/>
      </w:divBdr>
    </w:div>
    <w:div w:id="1225291859">
      <w:bodyDiv w:val="1"/>
      <w:marLeft w:val="0"/>
      <w:marRight w:val="0"/>
      <w:marTop w:val="0"/>
      <w:marBottom w:val="0"/>
      <w:divBdr>
        <w:top w:val="none" w:sz="0" w:space="0" w:color="auto"/>
        <w:left w:val="none" w:sz="0" w:space="0" w:color="auto"/>
        <w:bottom w:val="none" w:sz="0" w:space="0" w:color="auto"/>
        <w:right w:val="none" w:sz="0" w:space="0" w:color="auto"/>
      </w:divBdr>
    </w:div>
    <w:div w:id="1320423535">
      <w:bodyDiv w:val="1"/>
      <w:marLeft w:val="0"/>
      <w:marRight w:val="0"/>
      <w:marTop w:val="0"/>
      <w:marBottom w:val="0"/>
      <w:divBdr>
        <w:top w:val="none" w:sz="0" w:space="0" w:color="auto"/>
        <w:left w:val="none" w:sz="0" w:space="0" w:color="auto"/>
        <w:bottom w:val="none" w:sz="0" w:space="0" w:color="auto"/>
        <w:right w:val="none" w:sz="0" w:space="0" w:color="auto"/>
      </w:divBdr>
    </w:div>
    <w:div w:id="1377007981">
      <w:bodyDiv w:val="1"/>
      <w:marLeft w:val="0"/>
      <w:marRight w:val="0"/>
      <w:marTop w:val="0"/>
      <w:marBottom w:val="0"/>
      <w:divBdr>
        <w:top w:val="none" w:sz="0" w:space="0" w:color="auto"/>
        <w:left w:val="none" w:sz="0" w:space="0" w:color="auto"/>
        <w:bottom w:val="none" w:sz="0" w:space="0" w:color="auto"/>
        <w:right w:val="none" w:sz="0" w:space="0" w:color="auto"/>
      </w:divBdr>
    </w:div>
    <w:div w:id="1385908509">
      <w:bodyDiv w:val="1"/>
      <w:marLeft w:val="0"/>
      <w:marRight w:val="0"/>
      <w:marTop w:val="0"/>
      <w:marBottom w:val="0"/>
      <w:divBdr>
        <w:top w:val="none" w:sz="0" w:space="0" w:color="auto"/>
        <w:left w:val="none" w:sz="0" w:space="0" w:color="auto"/>
        <w:bottom w:val="none" w:sz="0" w:space="0" w:color="auto"/>
        <w:right w:val="none" w:sz="0" w:space="0" w:color="auto"/>
      </w:divBdr>
    </w:div>
    <w:div w:id="1411274612">
      <w:bodyDiv w:val="1"/>
      <w:marLeft w:val="0"/>
      <w:marRight w:val="0"/>
      <w:marTop w:val="0"/>
      <w:marBottom w:val="0"/>
      <w:divBdr>
        <w:top w:val="none" w:sz="0" w:space="0" w:color="auto"/>
        <w:left w:val="none" w:sz="0" w:space="0" w:color="auto"/>
        <w:bottom w:val="none" w:sz="0" w:space="0" w:color="auto"/>
        <w:right w:val="none" w:sz="0" w:space="0" w:color="auto"/>
      </w:divBdr>
    </w:div>
    <w:div w:id="1440029331">
      <w:bodyDiv w:val="1"/>
      <w:marLeft w:val="0"/>
      <w:marRight w:val="0"/>
      <w:marTop w:val="0"/>
      <w:marBottom w:val="0"/>
      <w:divBdr>
        <w:top w:val="none" w:sz="0" w:space="0" w:color="auto"/>
        <w:left w:val="none" w:sz="0" w:space="0" w:color="auto"/>
        <w:bottom w:val="none" w:sz="0" w:space="0" w:color="auto"/>
        <w:right w:val="none" w:sz="0" w:space="0" w:color="auto"/>
      </w:divBdr>
    </w:div>
    <w:div w:id="1563953653">
      <w:bodyDiv w:val="1"/>
      <w:marLeft w:val="0"/>
      <w:marRight w:val="0"/>
      <w:marTop w:val="0"/>
      <w:marBottom w:val="0"/>
      <w:divBdr>
        <w:top w:val="none" w:sz="0" w:space="0" w:color="auto"/>
        <w:left w:val="none" w:sz="0" w:space="0" w:color="auto"/>
        <w:bottom w:val="none" w:sz="0" w:space="0" w:color="auto"/>
        <w:right w:val="none" w:sz="0" w:space="0" w:color="auto"/>
      </w:divBdr>
    </w:div>
    <w:div w:id="1578906607">
      <w:bodyDiv w:val="1"/>
      <w:marLeft w:val="0"/>
      <w:marRight w:val="0"/>
      <w:marTop w:val="0"/>
      <w:marBottom w:val="0"/>
      <w:divBdr>
        <w:top w:val="none" w:sz="0" w:space="0" w:color="auto"/>
        <w:left w:val="none" w:sz="0" w:space="0" w:color="auto"/>
        <w:bottom w:val="none" w:sz="0" w:space="0" w:color="auto"/>
        <w:right w:val="none" w:sz="0" w:space="0" w:color="auto"/>
      </w:divBdr>
    </w:div>
    <w:div w:id="1624269165">
      <w:bodyDiv w:val="1"/>
      <w:marLeft w:val="0"/>
      <w:marRight w:val="0"/>
      <w:marTop w:val="0"/>
      <w:marBottom w:val="0"/>
      <w:divBdr>
        <w:top w:val="none" w:sz="0" w:space="0" w:color="auto"/>
        <w:left w:val="none" w:sz="0" w:space="0" w:color="auto"/>
        <w:bottom w:val="none" w:sz="0" w:space="0" w:color="auto"/>
        <w:right w:val="none" w:sz="0" w:space="0" w:color="auto"/>
      </w:divBdr>
    </w:div>
    <w:div w:id="1659336744">
      <w:bodyDiv w:val="1"/>
      <w:marLeft w:val="0"/>
      <w:marRight w:val="0"/>
      <w:marTop w:val="0"/>
      <w:marBottom w:val="0"/>
      <w:divBdr>
        <w:top w:val="none" w:sz="0" w:space="0" w:color="auto"/>
        <w:left w:val="none" w:sz="0" w:space="0" w:color="auto"/>
        <w:bottom w:val="none" w:sz="0" w:space="0" w:color="auto"/>
        <w:right w:val="none" w:sz="0" w:space="0" w:color="auto"/>
      </w:divBdr>
    </w:div>
    <w:div w:id="1673800700">
      <w:bodyDiv w:val="1"/>
      <w:marLeft w:val="0"/>
      <w:marRight w:val="0"/>
      <w:marTop w:val="0"/>
      <w:marBottom w:val="0"/>
      <w:divBdr>
        <w:top w:val="none" w:sz="0" w:space="0" w:color="auto"/>
        <w:left w:val="none" w:sz="0" w:space="0" w:color="auto"/>
        <w:bottom w:val="none" w:sz="0" w:space="0" w:color="auto"/>
        <w:right w:val="none" w:sz="0" w:space="0" w:color="auto"/>
      </w:divBdr>
    </w:div>
    <w:div w:id="1716538791">
      <w:bodyDiv w:val="1"/>
      <w:marLeft w:val="0"/>
      <w:marRight w:val="0"/>
      <w:marTop w:val="0"/>
      <w:marBottom w:val="0"/>
      <w:divBdr>
        <w:top w:val="none" w:sz="0" w:space="0" w:color="auto"/>
        <w:left w:val="none" w:sz="0" w:space="0" w:color="auto"/>
        <w:bottom w:val="none" w:sz="0" w:space="0" w:color="auto"/>
        <w:right w:val="none" w:sz="0" w:space="0" w:color="auto"/>
      </w:divBdr>
    </w:div>
    <w:div w:id="1741173547">
      <w:bodyDiv w:val="1"/>
      <w:marLeft w:val="0"/>
      <w:marRight w:val="0"/>
      <w:marTop w:val="0"/>
      <w:marBottom w:val="0"/>
      <w:divBdr>
        <w:top w:val="none" w:sz="0" w:space="0" w:color="auto"/>
        <w:left w:val="none" w:sz="0" w:space="0" w:color="auto"/>
        <w:bottom w:val="none" w:sz="0" w:space="0" w:color="auto"/>
        <w:right w:val="none" w:sz="0" w:space="0" w:color="auto"/>
      </w:divBdr>
    </w:div>
    <w:div w:id="1809935574">
      <w:bodyDiv w:val="1"/>
      <w:marLeft w:val="0"/>
      <w:marRight w:val="0"/>
      <w:marTop w:val="0"/>
      <w:marBottom w:val="0"/>
      <w:divBdr>
        <w:top w:val="none" w:sz="0" w:space="0" w:color="auto"/>
        <w:left w:val="none" w:sz="0" w:space="0" w:color="auto"/>
        <w:bottom w:val="none" w:sz="0" w:space="0" w:color="auto"/>
        <w:right w:val="none" w:sz="0" w:space="0" w:color="auto"/>
      </w:divBdr>
    </w:div>
    <w:div w:id="1814835348">
      <w:bodyDiv w:val="1"/>
      <w:marLeft w:val="0"/>
      <w:marRight w:val="0"/>
      <w:marTop w:val="0"/>
      <w:marBottom w:val="0"/>
      <w:divBdr>
        <w:top w:val="none" w:sz="0" w:space="0" w:color="auto"/>
        <w:left w:val="none" w:sz="0" w:space="0" w:color="auto"/>
        <w:bottom w:val="none" w:sz="0" w:space="0" w:color="auto"/>
        <w:right w:val="none" w:sz="0" w:space="0" w:color="auto"/>
      </w:divBdr>
    </w:div>
    <w:div w:id="1889996848">
      <w:bodyDiv w:val="1"/>
      <w:marLeft w:val="0"/>
      <w:marRight w:val="0"/>
      <w:marTop w:val="0"/>
      <w:marBottom w:val="0"/>
      <w:divBdr>
        <w:top w:val="none" w:sz="0" w:space="0" w:color="auto"/>
        <w:left w:val="none" w:sz="0" w:space="0" w:color="auto"/>
        <w:bottom w:val="none" w:sz="0" w:space="0" w:color="auto"/>
        <w:right w:val="none" w:sz="0" w:space="0" w:color="auto"/>
      </w:divBdr>
    </w:div>
    <w:div w:id="1900705822">
      <w:bodyDiv w:val="1"/>
      <w:marLeft w:val="0"/>
      <w:marRight w:val="0"/>
      <w:marTop w:val="0"/>
      <w:marBottom w:val="0"/>
      <w:divBdr>
        <w:top w:val="none" w:sz="0" w:space="0" w:color="auto"/>
        <w:left w:val="none" w:sz="0" w:space="0" w:color="auto"/>
        <w:bottom w:val="none" w:sz="0" w:space="0" w:color="auto"/>
        <w:right w:val="none" w:sz="0" w:space="0" w:color="auto"/>
      </w:divBdr>
    </w:div>
    <w:div w:id="1969773670">
      <w:bodyDiv w:val="1"/>
      <w:marLeft w:val="0"/>
      <w:marRight w:val="0"/>
      <w:marTop w:val="0"/>
      <w:marBottom w:val="0"/>
      <w:divBdr>
        <w:top w:val="none" w:sz="0" w:space="0" w:color="auto"/>
        <w:left w:val="none" w:sz="0" w:space="0" w:color="auto"/>
        <w:bottom w:val="none" w:sz="0" w:space="0" w:color="auto"/>
        <w:right w:val="none" w:sz="0" w:space="0" w:color="auto"/>
      </w:divBdr>
    </w:div>
    <w:div w:id="1973367835">
      <w:bodyDiv w:val="1"/>
      <w:marLeft w:val="0"/>
      <w:marRight w:val="0"/>
      <w:marTop w:val="0"/>
      <w:marBottom w:val="0"/>
      <w:divBdr>
        <w:top w:val="none" w:sz="0" w:space="0" w:color="auto"/>
        <w:left w:val="none" w:sz="0" w:space="0" w:color="auto"/>
        <w:bottom w:val="none" w:sz="0" w:space="0" w:color="auto"/>
        <w:right w:val="none" w:sz="0" w:space="0" w:color="auto"/>
      </w:divBdr>
    </w:div>
    <w:div w:id="2012676135">
      <w:bodyDiv w:val="1"/>
      <w:marLeft w:val="0"/>
      <w:marRight w:val="0"/>
      <w:marTop w:val="0"/>
      <w:marBottom w:val="0"/>
      <w:divBdr>
        <w:top w:val="none" w:sz="0" w:space="0" w:color="auto"/>
        <w:left w:val="none" w:sz="0" w:space="0" w:color="auto"/>
        <w:bottom w:val="none" w:sz="0" w:space="0" w:color="auto"/>
        <w:right w:val="none" w:sz="0" w:space="0" w:color="auto"/>
      </w:divBdr>
    </w:div>
    <w:div w:id="2014449461">
      <w:bodyDiv w:val="1"/>
      <w:marLeft w:val="0"/>
      <w:marRight w:val="0"/>
      <w:marTop w:val="0"/>
      <w:marBottom w:val="0"/>
      <w:divBdr>
        <w:top w:val="none" w:sz="0" w:space="0" w:color="auto"/>
        <w:left w:val="none" w:sz="0" w:space="0" w:color="auto"/>
        <w:bottom w:val="none" w:sz="0" w:space="0" w:color="auto"/>
        <w:right w:val="none" w:sz="0" w:space="0" w:color="auto"/>
      </w:divBdr>
    </w:div>
    <w:div w:id="2060812077">
      <w:bodyDiv w:val="1"/>
      <w:marLeft w:val="0"/>
      <w:marRight w:val="0"/>
      <w:marTop w:val="0"/>
      <w:marBottom w:val="0"/>
      <w:divBdr>
        <w:top w:val="none" w:sz="0" w:space="0" w:color="auto"/>
        <w:left w:val="none" w:sz="0" w:space="0" w:color="auto"/>
        <w:bottom w:val="none" w:sz="0" w:space="0" w:color="auto"/>
        <w:right w:val="none" w:sz="0" w:space="0" w:color="auto"/>
      </w:divBdr>
    </w:div>
    <w:div w:id="2091459044">
      <w:bodyDiv w:val="1"/>
      <w:marLeft w:val="0"/>
      <w:marRight w:val="0"/>
      <w:marTop w:val="0"/>
      <w:marBottom w:val="0"/>
      <w:divBdr>
        <w:top w:val="none" w:sz="0" w:space="0" w:color="auto"/>
        <w:left w:val="none" w:sz="0" w:space="0" w:color="auto"/>
        <w:bottom w:val="none" w:sz="0" w:space="0" w:color="auto"/>
        <w:right w:val="none" w:sz="0" w:space="0" w:color="auto"/>
      </w:divBdr>
    </w:div>
    <w:div w:id="2096592267">
      <w:bodyDiv w:val="1"/>
      <w:marLeft w:val="0"/>
      <w:marRight w:val="0"/>
      <w:marTop w:val="0"/>
      <w:marBottom w:val="0"/>
      <w:divBdr>
        <w:top w:val="none" w:sz="0" w:space="0" w:color="auto"/>
        <w:left w:val="none" w:sz="0" w:space="0" w:color="auto"/>
        <w:bottom w:val="none" w:sz="0" w:space="0" w:color="auto"/>
        <w:right w:val="none" w:sz="0" w:space="0" w:color="auto"/>
      </w:divBdr>
    </w:div>
    <w:div w:id="2096970231">
      <w:bodyDiv w:val="1"/>
      <w:marLeft w:val="0"/>
      <w:marRight w:val="0"/>
      <w:marTop w:val="0"/>
      <w:marBottom w:val="0"/>
      <w:divBdr>
        <w:top w:val="none" w:sz="0" w:space="0" w:color="auto"/>
        <w:left w:val="none" w:sz="0" w:space="0" w:color="auto"/>
        <w:bottom w:val="none" w:sz="0" w:space="0" w:color="auto"/>
        <w:right w:val="none" w:sz="0" w:space="0" w:color="auto"/>
      </w:divBdr>
    </w:div>
    <w:div w:id="2112966655">
      <w:bodyDiv w:val="1"/>
      <w:marLeft w:val="0"/>
      <w:marRight w:val="0"/>
      <w:marTop w:val="0"/>
      <w:marBottom w:val="0"/>
      <w:divBdr>
        <w:top w:val="none" w:sz="0" w:space="0" w:color="auto"/>
        <w:left w:val="none" w:sz="0" w:space="0" w:color="auto"/>
        <w:bottom w:val="none" w:sz="0" w:space="0" w:color="auto"/>
        <w:right w:val="none" w:sz="0" w:space="0" w:color="auto"/>
      </w:divBdr>
    </w:div>
    <w:div w:id="2121296776">
      <w:bodyDiv w:val="1"/>
      <w:marLeft w:val="0"/>
      <w:marRight w:val="0"/>
      <w:marTop w:val="0"/>
      <w:marBottom w:val="0"/>
      <w:divBdr>
        <w:top w:val="none" w:sz="0" w:space="0" w:color="auto"/>
        <w:left w:val="none" w:sz="0" w:space="0" w:color="auto"/>
        <w:bottom w:val="none" w:sz="0" w:space="0" w:color="auto"/>
        <w:right w:val="none" w:sz="0" w:space="0" w:color="auto"/>
      </w:divBdr>
    </w:div>
    <w:div w:id="212680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1D368-C86A-4434-B520-8CE0F70F1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37</Pages>
  <Words>15102</Words>
  <Characters>86083</Characters>
  <Application>Microsoft Office Word</Application>
  <DocSecurity>0</DocSecurity>
  <Lines>717</Lines>
  <Paragraphs>201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100984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Kocic</dc:creator>
  <cp:lastModifiedBy>Nives Damjanic</cp:lastModifiedBy>
  <cp:revision>53</cp:revision>
  <cp:lastPrinted>2025-06-10T10:34:00Z</cp:lastPrinted>
  <dcterms:created xsi:type="dcterms:W3CDTF">2025-06-06T07:20:00Z</dcterms:created>
  <dcterms:modified xsi:type="dcterms:W3CDTF">2025-06-12T09:25:00Z</dcterms:modified>
</cp:coreProperties>
</file>